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9DAE" w14:textId="77777777" w:rsidR="00657FCF" w:rsidRDefault="00657FCF">
      <w:pPr>
        <w:pStyle w:val="BodyText"/>
        <w:spacing w:before="9"/>
        <w:ind w:left="0"/>
        <w:rPr>
          <w:rFonts w:ascii="Times New Roman"/>
          <w:sz w:val="12"/>
        </w:rPr>
      </w:pPr>
    </w:p>
    <w:p w14:paraId="2205DA1B" w14:textId="77777777" w:rsidR="00657FCF" w:rsidRDefault="00000000">
      <w:pPr>
        <w:pStyle w:val="Heading1"/>
        <w:spacing w:before="56"/>
        <w:ind w:left="150"/>
      </w:pPr>
      <w:r>
        <w:rPr>
          <w:color w:val="0D0D0D"/>
        </w:rPr>
        <w:t>Writing Digital Assessment Briefs for International Students</w:t>
      </w:r>
    </w:p>
    <w:p w14:paraId="558CF2A2" w14:textId="77777777" w:rsidR="00657FCF" w:rsidRDefault="00657FCF">
      <w:pPr>
        <w:pStyle w:val="BodyText"/>
        <w:spacing w:before="11"/>
        <w:ind w:left="0"/>
        <w:rPr>
          <w:b/>
          <w:sz w:val="31"/>
        </w:rPr>
      </w:pPr>
    </w:p>
    <w:p w14:paraId="1B450CDE" w14:textId="77777777" w:rsidR="00657FCF" w:rsidRDefault="00000000">
      <w:pPr>
        <w:pStyle w:val="BodyText"/>
        <w:ind w:left="100" w:right="684"/>
      </w:pPr>
      <w:r>
        <w:rPr>
          <w:color w:val="0D0D0D"/>
        </w:rPr>
        <w:t>Assessment performance can act as a key indicator of a student’s understanding of module content. This resource provides academics with practical guidelines to ensure that their digital assessment practices are transparent for all students, particularly those coming from different educational contexts.</w:t>
      </w:r>
    </w:p>
    <w:p w14:paraId="430B5639" w14:textId="77777777" w:rsidR="00657FCF" w:rsidRDefault="00657FCF">
      <w:pPr>
        <w:pStyle w:val="BodyText"/>
        <w:spacing w:before="10"/>
        <w:ind w:left="0"/>
        <w:rPr>
          <w:sz w:val="21"/>
        </w:rPr>
      </w:pPr>
    </w:p>
    <w:p w14:paraId="24F79DAD" w14:textId="77777777" w:rsidR="00657FCF" w:rsidRDefault="00000000">
      <w:pPr>
        <w:pStyle w:val="Heading1"/>
        <w:spacing w:before="1"/>
      </w:pPr>
      <w:r>
        <w:rPr>
          <w:color w:val="0D0D0D"/>
        </w:rPr>
        <w:t>Assessing International Students: Key Considerations</w:t>
      </w:r>
    </w:p>
    <w:p w14:paraId="4A68CEF0" w14:textId="77777777" w:rsidR="00657FCF" w:rsidRDefault="00657FCF">
      <w:pPr>
        <w:pStyle w:val="BodyText"/>
        <w:ind w:left="0"/>
        <w:rPr>
          <w:b/>
        </w:rPr>
      </w:pPr>
    </w:p>
    <w:p w14:paraId="31D7A5E7" w14:textId="77777777" w:rsidR="00657FCF" w:rsidRDefault="00000000">
      <w:pPr>
        <w:pStyle w:val="ListParagraph"/>
        <w:numPr>
          <w:ilvl w:val="0"/>
          <w:numId w:val="3"/>
        </w:numPr>
        <w:tabs>
          <w:tab w:val="left" w:pos="821"/>
        </w:tabs>
        <w:ind w:right="149"/>
      </w:pPr>
      <w:r>
        <w:rPr>
          <w:color w:val="0D0D0D"/>
        </w:rPr>
        <w:t>All students (both domestic and international) benefit from clearly signalling expectations in assessment practice at the outset of a module and across the</w:t>
      </w:r>
      <w:r>
        <w:rPr>
          <w:color w:val="0D0D0D"/>
          <w:spacing w:val="-8"/>
        </w:rPr>
        <w:t xml:space="preserve"> </w:t>
      </w:r>
      <w:r>
        <w:rPr>
          <w:color w:val="0D0D0D"/>
        </w:rPr>
        <w:t>semester.</w:t>
      </w:r>
    </w:p>
    <w:p w14:paraId="39046B28" w14:textId="77777777" w:rsidR="00657FCF" w:rsidRDefault="00000000">
      <w:pPr>
        <w:pStyle w:val="ListParagraph"/>
        <w:numPr>
          <w:ilvl w:val="0"/>
          <w:numId w:val="3"/>
        </w:numPr>
        <w:tabs>
          <w:tab w:val="left" w:pos="821"/>
        </w:tabs>
        <w:ind w:right="218" w:hanging="360"/>
      </w:pPr>
      <w:r>
        <w:rPr>
          <w:color w:val="0D0D0D"/>
        </w:rPr>
        <w:t>International students studying through the medium of English may find certain types of digital assessments more challenging (e.g. those that place an emphasis on oral language skills). This can place additional stress on individual students and/or have implications for student</w:t>
      </w:r>
      <w:r>
        <w:rPr>
          <w:color w:val="0D0D0D"/>
          <w:spacing w:val="-13"/>
        </w:rPr>
        <w:t xml:space="preserve"> </w:t>
      </w:r>
      <w:r>
        <w:rPr>
          <w:color w:val="0D0D0D"/>
        </w:rPr>
        <w:t>workload.</w:t>
      </w:r>
    </w:p>
    <w:p w14:paraId="798FA802" w14:textId="77777777" w:rsidR="00657FCF" w:rsidRDefault="00000000">
      <w:pPr>
        <w:pStyle w:val="ListParagraph"/>
        <w:numPr>
          <w:ilvl w:val="0"/>
          <w:numId w:val="3"/>
        </w:numPr>
        <w:tabs>
          <w:tab w:val="left" w:pos="821"/>
        </w:tabs>
        <w:spacing w:before="1"/>
        <w:ind w:right="166"/>
      </w:pPr>
      <w:r>
        <w:rPr>
          <w:color w:val="0D0D0D"/>
        </w:rPr>
        <w:t>Academic expectations for undergraduate students are very different to those completing postgraduate study. These differences can be even more apparent in learners with English as an additional language who are likely influenced by their previous educational experiences. They may also find it more challenging to access supports and services than domestic</w:t>
      </w:r>
      <w:r>
        <w:rPr>
          <w:color w:val="0D0D0D"/>
          <w:spacing w:val="-8"/>
        </w:rPr>
        <w:t xml:space="preserve"> </w:t>
      </w:r>
      <w:r>
        <w:rPr>
          <w:color w:val="0D0D0D"/>
        </w:rPr>
        <w:t>students.</w:t>
      </w:r>
    </w:p>
    <w:p w14:paraId="172D43B3" w14:textId="77777777" w:rsidR="00657FCF" w:rsidRDefault="00000000">
      <w:pPr>
        <w:pStyle w:val="ListParagraph"/>
        <w:numPr>
          <w:ilvl w:val="0"/>
          <w:numId w:val="3"/>
        </w:numPr>
        <w:tabs>
          <w:tab w:val="left" w:pos="821"/>
        </w:tabs>
        <w:ind w:right="304"/>
      </w:pPr>
      <w:r>
        <w:rPr>
          <w:color w:val="0D0D0D"/>
        </w:rPr>
        <w:t xml:space="preserve">For visiting students and students on one-year taught </w:t>
      </w:r>
      <w:proofErr w:type="gramStart"/>
      <w:r>
        <w:rPr>
          <w:color w:val="0D0D0D"/>
        </w:rPr>
        <w:t>Master’s</w:t>
      </w:r>
      <w:proofErr w:type="gramEnd"/>
      <w:r>
        <w:rPr>
          <w:color w:val="0D0D0D"/>
        </w:rPr>
        <w:t xml:space="preserve"> programmes the student ‘lifecycle’ is compressed. These students have a shorter time frame to adjust to Trinity’s digital assessment terminology and practices and may have a different understanding or experience of digital assessment based on their previous</w:t>
      </w:r>
      <w:r>
        <w:rPr>
          <w:color w:val="0D0D0D"/>
          <w:spacing w:val="-5"/>
        </w:rPr>
        <w:t xml:space="preserve"> </w:t>
      </w:r>
      <w:r>
        <w:rPr>
          <w:color w:val="0D0D0D"/>
        </w:rPr>
        <w:t>studies.</w:t>
      </w:r>
    </w:p>
    <w:p w14:paraId="3E8ADDF4" w14:textId="7F77F3D6" w:rsidR="00657FCF" w:rsidRDefault="00000000">
      <w:pPr>
        <w:pStyle w:val="ListParagraph"/>
        <w:numPr>
          <w:ilvl w:val="0"/>
          <w:numId w:val="3"/>
        </w:numPr>
        <w:tabs>
          <w:tab w:val="left" w:pos="821"/>
        </w:tabs>
        <w:ind w:right="109" w:hanging="360"/>
      </w:pPr>
      <w:r>
        <w:rPr>
          <w:color w:val="0D0D0D"/>
        </w:rPr>
        <w:t xml:space="preserve">Group assessment can be challenging for students from certain cultural backgrounds (e.g. levels of assertiveness, levels of face-saving </w:t>
      </w:r>
      <w:r w:rsidR="00862B04">
        <w:rPr>
          <w:color w:val="0D0D0D"/>
        </w:rPr>
        <w:t>behaviour</w:t>
      </w:r>
      <w:r>
        <w:rPr>
          <w:color w:val="0D0D0D"/>
        </w:rPr>
        <w:t>). Students may benefit from explicit guidelines being shared by staff to develop ground-rules for group assessment (e.g.</w:t>
      </w:r>
      <w:r>
        <w:rPr>
          <w:color w:val="0D0D0D"/>
          <w:spacing w:val="-10"/>
        </w:rPr>
        <w:t xml:space="preserve"> </w:t>
      </w:r>
      <w:r>
        <w:rPr>
          <w:color w:val="0D0D0D"/>
        </w:rPr>
        <w:t>netiquette).</w:t>
      </w:r>
    </w:p>
    <w:p w14:paraId="7071AEC2" w14:textId="77777777" w:rsidR="00657FCF" w:rsidRDefault="00000000">
      <w:pPr>
        <w:pStyle w:val="ListParagraph"/>
        <w:numPr>
          <w:ilvl w:val="0"/>
          <w:numId w:val="3"/>
        </w:numPr>
        <w:tabs>
          <w:tab w:val="left" w:pos="821"/>
        </w:tabs>
        <w:ind w:right="359" w:hanging="360"/>
      </w:pPr>
      <w:r>
        <w:rPr>
          <w:color w:val="0D0D0D"/>
        </w:rPr>
        <w:t>Consider emphasising the importance of self-directed learning throughout your module. International students may not be used to the level of autonomy in learning expected of Trinity students: it can be easier for students to ‘mask’ a lack of engagement in a digital learning</w:t>
      </w:r>
      <w:r>
        <w:rPr>
          <w:color w:val="0D0D0D"/>
          <w:spacing w:val="-12"/>
        </w:rPr>
        <w:t xml:space="preserve"> </w:t>
      </w:r>
      <w:r>
        <w:rPr>
          <w:color w:val="0D0D0D"/>
        </w:rPr>
        <w:t>context.</w:t>
      </w:r>
    </w:p>
    <w:p w14:paraId="544A2F81" w14:textId="77777777" w:rsidR="00657FCF" w:rsidRDefault="00657FCF">
      <w:pPr>
        <w:pStyle w:val="BodyText"/>
        <w:spacing w:before="8"/>
        <w:ind w:left="0"/>
        <w:rPr>
          <w:sz w:val="31"/>
        </w:rPr>
      </w:pPr>
    </w:p>
    <w:p w14:paraId="3D0D3869" w14:textId="77777777" w:rsidR="00657FCF" w:rsidRDefault="00000000">
      <w:pPr>
        <w:pStyle w:val="Heading1"/>
      </w:pPr>
      <w:r>
        <w:rPr>
          <w:color w:val="0D0D0D"/>
        </w:rPr>
        <w:t>First steps with digital assessment for international students</w:t>
      </w:r>
    </w:p>
    <w:p w14:paraId="3F39F819" w14:textId="77777777" w:rsidR="00657FCF" w:rsidRDefault="00000000">
      <w:pPr>
        <w:pStyle w:val="ListParagraph"/>
        <w:numPr>
          <w:ilvl w:val="0"/>
          <w:numId w:val="2"/>
        </w:numPr>
        <w:tabs>
          <w:tab w:val="left" w:pos="460"/>
          <w:tab w:val="left" w:pos="461"/>
        </w:tabs>
        <w:spacing w:before="2"/>
        <w:ind w:right="291" w:hanging="360"/>
      </w:pPr>
      <w:r>
        <w:rPr>
          <w:color w:val="0D0D0D"/>
        </w:rPr>
        <w:t>Is there clear alignment between the content of the digital assessment and the learning outcomes for your module or</w:t>
      </w:r>
      <w:r>
        <w:rPr>
          <w:color w:val="0D0D0D"/>
          <w:spacing w:val="-5"/>
        </w:rPr>
        <w:t xml:space="preserve"> </w:t>
      </w:r>
      <w:r>
        <w:rPr>
          <w:color w:val="0D0D0D"/>
        </w:rPr>
        <w:t>programme?</w:t>
      </w:r>
    </w:p>
    <w:p w14:paraId="2DEFBCC3" w14:textId="77777777" w:rsidR="00657FCF" w:rsidRDefault="00000000">
      <w:pPr>
        <w:pStyle w:val="ListParagraph"/>
        <w:numPr>
          <w:ilvl w:val="0"/>
          <w:numId w:val="2"/>
        </w:numPr>
        <w:tabs>
          <w:tab w:val="left" w:pos="460"/>
          <w:tab w:val="left" w:pos="461"/>
        </w:tabs>
        <w:spacing w:before="3" w:line="237" w:lineRule="auto"/>
        <w:ind w:left="459" w:hanging="360"/>
      </w:pPr>
      <w:r>
        <w:rPr>
          <w:color w:val="0D0D0D"/>
        </w:rPr>
        <w:t>Are instructions on how to complete and submit the digital assessment clear and prepared in plain English? Have these been shared with students both orally and in</w:t>
      </w:r>
      <w:r>
        <w:rPr>
          <w:color w:val="0D0D0D"/>
          <w:spacing w:val="-15"/>
        </w:rPr>
        <w:t xml:space="preserve"> </w:t>
      </w:r>
      <w:r>
        <w:rPr>
          <w:color w:val="0D0D0D"/>
        </w:rPr>
        <w:t>writing?</w:t>
      </w:r>
    </w:p>
    <w:p w14:paraId="61294AF9" w14:textId="77777777" w:rsidR="00657FCF" w:rsidRDefault="00000000">
      <w:pPr>
        <w:pStyle w:val="ListParagraph"/>
        <w:numPr>
          <w:ilvl w:val="0"/>
          <w:numId w:val="2"/>
        </w:numPr>
        <w:tabs>
          <w:tab w:val="left" w:pos="460"/>
          <w:tab w:val="left" w:pos="461"/>
        </w:tabs>
        <w:spacing w:before="2"/>
        <w:ind w:right="285"/>
      </w:pPr>
      <w:r>
        <w:rPr>
          <w:color w:val="0D0D0D"/>
        </w:rPr>
        <w:t>Have you considered paraphrasing or glossing/clarifying acronyms and/or complex terminology? Slang and jargon (both academic and cultural) often need to be broken down for international</w:t>
      </w:r>
      <w:r>
        <w:rPr>
          <w:color w:val="0D0D0D"/>
          <w:spacing w:val="-21"/>
        </w:rPr>
        <w:t xml:space="preserve"> </w:t>
      </w:r>
      <w:r>
        <w:rPr>
          <w:color w:val="0D0D0D"/>
        </w:rPr>
        <w:t>students.</w:t>
      </w:r>
    </w:p>
    <w:p w14:paraId="082E0CE6" w14:textId="77777777" w:rsidR="00657FCF" w:rsidRDefault="00000000">
      <w:pPr>
        <w:pStyle w:val="ListParagraph"/>
        <w:numPr>
          <w:ilvl w:val="0"/>
          <w:numId w:val="2"/>
        </w:numPr>
        <w:tabs>
          <w:tab w:val="left" w:pos="460"/>
          <w:tab w:val="left" w:pos="461"/>
        </w:tabs>
        <w:ind w:right="625"/>
      </w:pPr>
      <w:r>
        <w:rPr>
          <w:color w:val="0D0D0D"/>
        </w:rPr>
        <w:t>Is your assessment achievable for all students in the cohort (e.g. where you are teaching students from mixed disciplinary</w:t>
      </w:r>
      <w:r>
        <w:rPr>
          <w:color w:val="0D0D0D"/>
          <w:spacing w:val="-3"/>
        </w:rPr>
        <w:t xml:space="preserve"> </w:t>
      </w:r>
      <w:r>
        <w:rPr>
          <w:color w:val="0D0D0D"/>
        </w:rPr>
        <w:t>backgrounds)?</w:t>
      </w:r>
    </w:p>
    <w:p w14:paraId="69B1903F" w14:textId="77777777" w:rsidR="00657FCF" w:rsidRDefault="00000000">
      <w:pPr>
        <w:pStyle w:val="ListParagraph"/>
        <w:numPr>
          <w:ilvl w:val="0"/>
          <w:numId w:val="2"/>
        </w:numPr>
        <w:tabs>
          <w:tab w:val="left" w:pos="460"/>
          <w:tab w:val="left" w:pos="461"/>
        </w:tabs>
        <w:spacing w:before="3" w:line="237" w:lineRule="auto"/>
        <w:ind w:right="1028"/>
      </w:pPr>
      <w:r>
        <w:rPr>
          <w:color w:val="0D0D0D"/>
        </w:rPr>
        <w:t>Might visual supports (e.g. graphs, diagrams, or images) be used to support and clarify assessment activities? These can be particularly helpful for students with English as an Additional</w:t>
      </w:r>
      <w:r>
        <w:rPr>
          <w:color w:val="0D0D0D"/>
          <w:spacing w:val="-29"/>
        </w:rPr>
        <w:t xml:space="preserve"> </w:t>
      </w:r>
      <w:r>
        <w:rPr>
          <w:color w:val="0D0D0D"/>
        </w:rPr>
        <w:t>Language.</w:t>
      </w:r>
    </w:p>
    <w:p w14:paraId="5BF79FAB" w14:textId="77777777" w:rsidR="00657FCF" w:rsidRDefault="00000000">
      <w:pPr>
        <w:pStyle w:val="ListParagraph"/>
        <w:numPr>
          <w:ilvl w:val="0"/>
          <w:numId w:val="2"/>
        </w:numPr>
        <w:tabs>
          <w:tab w:val="left" w:pos="460"/>
          <w:tab w:val="left" w:pos="461"/>
        </w:tabs>
        <w:spacing w:before="2"/>
        <w:ind w:right="281"/>
      </w:pPr>
      <w:r>
        <w:rPr>
          <w:color w:val="0D0D0D"/>
        </w:rPr>
        <w:t>For group assessments, are students expected to self-select into pairs/triads/groups or are these groups to be teacher allocated?</w:t>
      </w:r>
    </w:p>
    <w:p w14:paraId="45B55AB5" w14:textId="77777777" w:rsidR="00657FCF" w:rsidRDefault="00657FCF">
      <w:pPr>
        <w:sectPr w:rsidR="00657FCF">
          <w:headerReference w:type="default" r:id="rId7"/>
          <w:footerReference w:type="default" r:id="rId8"/>
          <w:type w:val="continuous"/>
          <w:pgSz w:w="12240" w:h="15840"/>
          <w:pgMar w:top="1560" w:right="980" w:bottom="840" w:left="980" w:header="0" w:footer="655" w:gutter="0"/>
          <w:pgNumType w:start="1"/>
          <w:cols w:space="720"/>
        </w:sectPr>
      </w:pPr>
    </w:p>
    <w:p w14:paraId="5965A7B2" w14:textId="77777777" w:rsidR="00657FCF" w:rsidRDefault="00657FCF">
      <w:pPr>
        <w:pStyle w:val="BodyText"/>
        <w:spacing w:before="1"/>
        <w:ind w:left="0"/>
        <w:rPr>
          <w:sz w:val="12"/>
        </w:rPr>
      </w:pPr>
    </w:p>
    <w:p w14:paraId="2BDF3E9E" w14:textId="77777777" w:rsidR="00657FCF" w:rsidRDefault="00000000">
      <w:pPr>
        <w:pStyle w:val="Heading1"/>
        <w:spacing w:before="56"/>
      </w:pPr>
      <w:r>
        <w:rPr>
          <w:color w:val="0D0D0D"/>
        </w:rPr>
        <w:t>Timelining digital assessment</w:t>
      </w:r>
    </w:p>
    <w:p w14:paraId="2E71FCE8" w14:textId="77777777" w:rsidR="00657FCF" w:rsidRDefault="00000000">
      <w:pPr>
        <w:pStyle w:val="ListParagraph"/>
        <w:numPr>
          <w:ilvl w:val="1"/>
          <w:numId w:val="2"/>
        </w:numPr>
        <w:tabs>
          <w:tab w:val="left" w:pos="820"/>
          <w:tab w:val="left" w:pos="821"/>
        </w:tabs>
        <w:ind w:right="550" w:hanging="1"/>
      </w:pPr>
      <w:r>
        <w:rPr>
          <w:color w:val="0D0D0D"/>
        </w:rPr>
        <w:t>How/where do assessment deadlines for ‘your’ module overlap with other deadlines for your programme? Students enrolled in multiple modules are likely to perform better where deadlines do not coincide.</w:t>
      </w:r>
    </w:p>
    <w:p w14:paraId="66000B06" w14:textId="77777777" w:rsidR="00657FCF" w:rsidRDefault="00000000">
      <w:pPr>
        <w:pStyle w:val="ListParagraph"/>
        <w:numPr>
          <w:ilvl w:val="1"/>
          <w:numId w:val="2"/>
        </w:numPr>
        <w:tabs>
          <w:tab w:val="left" w:pos="820"/>
          <w:tab w:val="left" w:pos="821"/>
        </w:tabs>
        <w:spacing w:line="279" w:lineRule="exact"/>
        <w:ind w:left="820" w:right="0"/>
      </w:pPr>
      <w:r>
        <w:rPr>
          <w:color w:val="0D0D0D"/>
        </w:rPr>
        <w:t>Are reading and assignments scheduled to build on each other throughout the</w:t>
      </w:r>
      <w:r>
        <w:rPr>
          <w:color w:val="0D0D0D"/>
          <w:spacing w:val="-18"/>
        </w:rPr>
        <w:t xml:space="preserve"> </w:t>
      </w:r>
      <w:r>
        <w:rPr>
          <w:color w:val="0D0D0D"/>
        </w:rPr>
        <w:t>module?</w:t>
      </w:r>
    </w:p>
    <w:p w14:paraId="2AB3CE9B" w14:textId="77777777" w:rsidR="00657FCF" w:rsidRDefault="00000000">
      <w:pPr>
        <w:pStyle w:val="ListParagraph"/>
        <w:numPr>
          <w:ilvl w:val="1"/>
          <w:numId w:val="2"/>
        </w:numPr>
        <w:tabs>
          <w:tab w:val="left" w:pos="820"/>
          <w:tab w:val="left" w:pos="821"/>
        </w:tabs>
        <w:spacing w:before="1"/>
        <w:ind w:right="408" w:firstLine="0"/>
      </w:pPr>
      <w:r>
        <w:rPr>
          <w:color w:val="0D0D0D"/>
        </w:rPr>
        <w:t>Have students been able to become familiar with the format of the assessment, new areas of the VLE and corresponding submission processes (e.g. through mock</w:t>
      </w:r>
      <w:r>
        <w:rPr>
          <w:color w:val="0D0D0D"/>
          <w:spacing w:val="-10"/>
        </w:rPr>
        <w:t xml:space="preserve"> </w:t>
      </w:r>
      <w:r>
        <w:rPr>
          <w:color w:val="0D0D0D"/>
        </w:rPr>
        <w:t>assessments)?</w:t>
      </w:r>
    </w:p>
    <w:p w14:paraId="4F09D996" w14:textId="1B3AF2A2" w:rsidR="00657FCF" w:rsidRDefault="00000000">
      <w:pPr>
        <w:pStyle w:val="ListParagraph"/>
        <w:numPr>
          <w:ilvl w:val="1"/>
          <w:numId w:val="2"/>
        </w:numPr>
        <w:tabs>
          <w:tab w:val="left" w:pos="820"/>
          <w:tab w:val="left" w:pos="821"/>
        </w:tabs>
        <w:spacing w:before="1"/>
        <w:ind w:right="356" w:firstLine="0"/>
      </w:pPr>
      <w:r>
        <w:rPr>
          <w:color w:val="0D0D0D"/>
        </w:rPr>
        <w:t>How easy is it for students to find information about module assessment expectations where they are late to register/join a module partway through the</w:t>
      </w:r>
      <w:r>
        <w:rPr>
          <w:color w:val="0D0D0D"/>
          <w:spacing w:val="-4"/>
        </w:rPr>
        <w:t xml:space="preserve"> </w:t>
      </w:r>
      <w:r w:rsidR="00862B04">
        <w:rPr>
          <w:color w:val="0D0D0D"/>
        </w:rPr>
        <w:t>semester</w:t>
      </w:r>
      <w:r>
        <w:rPr>
          <w:color w:val="0D0D0D"/>
        </w:rPr>
        <w:t>?'</w:t>
      </w:r>
    </w:p>
    <w:p w14:paraId="47ED420F" w14:textId="77777777" w:rsidR="00657FCF" w:rsidRDefault="00657FCF">
      <w:pPr>
        <w:pStyle w:val="BodyText"/>
        <w:spacing w:before="8"/>
        <w:ind w:left="0"/>
        <w:rPr>
          <w:sz w:val="31"/>
        </w:rPr>
      </w:pPr>
    </w:p>
    <w:p w14:paraId="740C08DF" w14:textId="77777777" w:rsidR="00657FCF" w:rsidRDefault="00000000">
      <w:pPr>
        <w:pStyle w:val="Heading1"/>
      </w:pPr>
      <w:r>
        <w:rPr>
          <w:color w:val="0D0D0D"/>
        </w:rPr>
        <w:t>Communicating assessment expectations</w:t>
      </w:r>
    </w:p>
    <w:p w14:paraId="0CBD4189" w14:textId="77777777" w:rsidR="00657FCF" w:rsidRDefault="00000000">
      <w:pPr>
        <w:pStyle w:val="ListParagraph"/>
        <w:numPr>
          <w:ilvl w:val="1"/>
          <w:numId w:val="2"/>
        </w:numPr>
        <w:tabs>
          <w:tab w:val="left" w:pos="820"/>
          <w:tab w:val="left" w:pos="821"/>
        </w:tabs>
        <w:spacing w:before="1"/>
        <w:ind w:right="332" w:hanging="1"/>
      </w:pPr>
      <w:r>
        <w:rPr>
          <w:color w:val="0D0D0D"/>
        </w:rPr>
        <w:t>Manage expectations from the outset of the course: help students to understand what to expect from the module, the timelines for assessment submission, grading and</w:t>
      </w:r>
      <w:r>
        <w:rPr>
          <w:color w:val="0D0D0D"/>
          <w:spacing w:val="-14"/>
        </w:rPr>
        <w:t xml:space="preserve"> </w:t>
      </w:r>
      <w:r>
        <w:rPr>
          <w:color w:val="0D0D0D"/>
        </w:rPr>
        <w:t>results.</w:t>
      </w:r>
    </w:p>
    <w:p w14:paraId="5387D53F" w14:textId="77777777" w:rsidR="00657FCF" w:rsidRDefault="00000000">
      <w:pPr>
        <w:pStyle w:val="ListParagraph"/>
        <w:numPr>
          <w:ilvl w:val="1"/>
          <w:numId w:val="2"/>
        </w:numPr>
        <w:tabs>
          <w:tab w:val="left" w:pos="820"/>
          <w:tab w:val="left" w:pos="821"/>
        </w:tabs>
        <w:spacing w:before="1"/>
        <w:ind w:right="646" w:hanging="1"/>
      </w:pPr>
      <w:r>
        <w:rPr>
          <w:color w:val="0D0D0D"/>
        </w:rPr>
        <w:t>Discuss expectations for assessments: format, word count, plagiarism, and academic standards. Be aware that these may differ from country to country depending on academic</w:t>
      </w:r>
      <w:r>
        <w:rPr>
          <w:color w:val="0D0D0D"/>
          <w:spacing w:val="-12"/>
        </w:rPr>
        <w:t xml:space="preserve"> </w:t>
      </w:r>
      <w:r>
        <w:rPr>
          <w:color w:val="0D0D0D"/>
        </w:rPr>
        <w:t>culture.</w:t>
      </w:r>
    </w:p>
    <w:p w14:paraId="1D0CBFBC" w14:textId="77777777" w:rsidR="00657FCF" w:rsidRDefault="00000000">
      <w:pPr>
        <w:pStyle w:val="ListParagraph"/>
        <w:numPr>
          <w:ilvl w:val="1"/>
          <w:numId w:val="2"/>
        </w:numPr>
        <w:tabs>
          <w:tab w:val="left" w:pos="820"/>
          <w:tab w:val="left" w:pos="821"/>
        </w:tabs>
        <w:spacing w:before="2" w:line="237" w:lineRule="auto"/>
        <w:ind w:right="231" w:hanging="1"/>
      </w:pPr>
      <w:r>
        <w:rPr>
          <w:color w:val="0D0D0D"/>
        </w:rPr>
        <w:t>Clarify how marks are allocated, e.g. using a rubric that distinguishes between content, referencing and citations, and/or spelling/punctuation/grammar (where</w:t>
      </w:r>
      <w:r>
        <w:rPr>
          <w:color w:val="0D0D0D"/>
          <w:spacing w:val="-3"/>
        </w:rPr>
        <w:t xml:space="preserve"> </w:t>
      </w:r>
      <w:r>
        <w:rPr>
          <w:color w:val="0D0D0D"/>
        </w:rPr>
        <w:t>appropriate).</w:t>
      </w:r>
    </w:p>
    <w:p w14:paraId="0D244DB7" w14:textId="77777777" w:rsidR="00657FCF" w:rsidRDefault="00000000">
      <w:pPr>
        <w:pStyle w:val="ListParagraph"/>
        <w:numPr>
          <w:ilvl w:val="1"/>
          <w:numId w:val="2"/>
        </w:numPr>
        <w:tabs>
          <w:tab w:val="left" w:pos="820"/>
          <w:tab w:val="left" w:pos="821"/>
        </w:tabs>
        <w:spacing w:before="2"/>
        <w:ind w:right="944" w:hanging="1"/>
      </w:pPr>
      <w:r>
        <w:rPr>
          <w:color w:val="0D0D0D"/>
        </w:rPr>
        <w:t>Use realistic worked examples in tutorials that reflect continuous assessment or exam question standards.</w:t>
      </w:r>
    </w:p>
    <w:p w14:paraId="44C624B8" w14:textId="77777777" w:rsidR="00657FCF" w:rsidRDefault="00000000">
      <w:pPr>
        <w:pStyle w:val="ListParagraph"/>
        <w:numPr>
          <w:ilvl w:val="1"/>
          <w:numId w:val="2"/>
        </w:numPr>
        <w:tabs>
          <w:tab w:val="left" w:pos="820"/>
          <w:tab w:val="left" w:pos="821"/>
        </w:tabs>
        <w:spacing w:before="1"/>
        <w:ind w:left="461" w:right="264" w:hanging="1"/>
      </w:pPr>
      <w:r>
        <w:rPr>
          <w:color w:val="0D0D0D"/>
        </w:rPr>
        <w:t>Clearly signpost to additional student services and resources as appropriate, e.g. to Student Learning &amp; Development, the Gateway to Digital Assessment hub, Trinity IT</w:t>
      </w:r>
      <w:r>
        <w:rPr>
          <w:color w:val="0D0D0D"/>
          <w:spacing w:val="-5"/>
        </w:rPr>
        <w:t xml:space="preserve"> </w:t>
      </w:r>
      <w:r>
        <w:rPr>
          <w:color w:val="0D0D0D"/>
        </w:rPr>
        <w:t>Services.</w:t>
      </w:r>
    </w:p>
    <w:p w14:paraId="007B8C60" w14:textId="77777777" w:rsidR="00657FCF" w:rsidRDefault="00657FCF">
      <w:pPr>
        <w:pStyle w:val="BodyText"/>
        <w:spacing w:before="11"/>
        <w:ind w:left="0"/>
        <w:rPr>
          <w:sz w:val="31"/>
        </w:rPr>
      </w:pPr>
    </w:p>
    <w:p w14:paraId="1EC4F713" w14:textId="77777777" w:rsidR="00657FCF" w:rsidRDefault="00000000">
      <w:pPr>
        <w:pStyle w:val="Heading1"/>
        <w:spacing w:line="268" w:lineRule="exact"/>
      </w:pPr>
      <w:r>
        <w:rPr>
          <w:color w:val="0D0D0D"/>
        </w:rPr>
        <w:t>During digital assessment ‘windows’:</w:t>
      </w:r>
    </w:p>
    <w:p w14:paraId="0547503A" w14:textId="77777777" w:rsidR="00657FCF" w:rsidRDefault="00000000">
      <w:pPr>
        <w:pStyle w:val="ListParagraph"/>
        <w:numPr>
          <w:ilvl w:val="1"/>
          <w:numId w:val="2"/>
        </w:numPr>
        <w:tabs>
          <w:tab w:val="left" w:pos="820"/>
          <w:tab w:val="left" w:pos="821"/>
        </w:tabs>
        <w:ind w:right="187" w:firstLine="0"/>
      </w:pPr>
      <w:r>
        <w:rPr>
          <w:color w:val="0D0D0D"/>
        </w:rPr>
        <w:t>Flexibility in assessment deadlines may be required where technical issues apply (e.g. issues with access to recommended reading materials, submission processes) and/or for students studying in different time zones.</w:t>
      </w:r>
    </w:p>
    <w:p w14:paraId="1BDD6227" w14:textId="77777777" w:rsidR="00657FCF" w:rsidRDefault="00000000">
      <w:pPr>
        <w:pStyle w:val="ListParagraph"/>
        <w:numPr>
          <w:ilvl w:val="1"/>
          <w:numId w:val="2"/>
        </w:numPr>
        <w:tabs>
          <w:tab w:val="left" w:pos="820"/>
          <w:tab w:val="left" w:pos="821"/>
        </w:tabs>
        <w:ind w:left="461" w:right="690" w:hanging="1"/>
      </w:pPr>
      <w:r>
        <w:rPr>
          <w:color w:val="0D0D0D"/>
        </w:rPr>
        <w:t>Greater levels of academic support may be required for international students (e.g. clarification of question phrasing on ‘exam’</w:t>
      </w:r>
      <w:r>
        <w:rPr>
          <w:color w:val="0D0D0D"/>
          <w:spacing w:val="-6"/>
        </w:rPr>
        <w:t xml:space="preserve"> </w:t>
      </w:r>
      <w:r>
        <w:rPr>
          <w:color w:val="0D0D0D"/>
        </w:rPr>
        <w:t>papers).</w:t>
      </w:r>
    </w:p>
    <w:p w14:paraId="170B4049" w14:textId="77777777" w:rsidR="00657FCF" w:rsidRDefault="00000000">
      <w:pPr>
        <w:pStyle w:val="ListParagraph"/>
        <w:numPr>
          <w:ilvl w:val="1"/>
          <w:numId w:val="2"/>
        </w:numPr>
        <w:tabs>
          <w:tab w:val="left" w:pos="820"/>
          <w:tab w:val="left" w:pos="821"/>
        </w:tabs>
        <w:ind w:left="461" w:right="382" w:hanging="1"/>
      </w:pPr>
      <w:r>
        <w:rPr>
          <w:color w:val="0D0D0D"/>
        </w:rPr>
        <w:t>Alternative file formats may need to be provided where students studying overseas may have trouble accessing digital assessment</w:t>
      </w:r>
      <w:r>
        <w:rPr>
          <w:color w:val="0D0D0D"/>
          <w:spacing w:val="-1"/>
        </w:rPr>
        <w:t xml:space="preserve"> </w:t>
      </w:r>
      <w:r>
        <w:rPr>
          <w:color w:val="0D0D0D"/>
        </w:rPr>
        <w:t>activities.</w:t>
      </w:r>
    </w:p>
    <w:p w14:paraId="25ADDEA4" w14:textId="77777777" w:rsidR="00657FCF" w:rsidRDefault="00657FCF">
      <w:pPr>
        <w:pStyle w:val="BodyText"/>
        <w:spacing w:before="11"/>
        <w:ind w:left="0"/>
        <w:rPr>
          <w:sz w:val="21"/>
        </w:rPr>
      </w:pPr>
    </w:p>
    <w:p w14:paraId="1A42F88F" w14:textId="77777777" w:rsidR="00657FCF" w:rsidRDefault="00000000">
      <w:pPr>
        <w:pStyle w:val="Heading1"/>
        <w:ind w:left="101"/>
      </w:pPr>
      <w:r>
        <w:rPr>
          <w:color w:val="0D0D0D"/>
        </w:rPr>
        <w:t>References</w:t>
      </w:r>
    </w:p>
    <w:p w14:paraId="16463FE9" w14:textId="1D671C7C" w:rsidR="00657FCF" w:rsidRDefault="00000000">
      <w:pPr>
        <w:pStyle w:val="ListParagraph"/>
        <w:numPr>
          <w:ilvl w:val="0"/>
          <w:numId w:val="1"/>
        </w:numPr>
        <w:tabs>
          <w:tab w:val="left" w:pos="819"/>
          <w:tab w:val="left" w:pos="820"/>
        </w:tabs>
        <w:spacing w:before="3"/>
        <w:ind w:right="2295"/>
        <w:rPr>
          <w:sz w:val="18"/>
        </w:rPr>
      </w:pPr>
      <w:r>
        <w:rPr>
          <w:sz w:val="18"/>
          <w:u w:val="single"/>
        </w:rPr>
        <w:t>Academic Practice, Trinity, College Dublin (2021) Gateway to Digital Assessment Hub. Available at</w:t>
      </w:r>
      <w:r>
        <w:rPr>
          <w:color w:val="0000FF"/>
          <w:sz w:val="18"/>
          <w:u w:val="single" w:color="0000FF"/>
        </w:rPr>
        <w:t xml:space="preserve"> </w:t>
      </w:r>
      <w:hyperlink r:id="rId9" w:history="1">
        <w:r w:rsidR="00862B04" w:rsidRPr="006D34E0">
          <w:rPr>
            <w:rStyle w:val="Hyperlink"/>
            <w:sz w:val="18"/>
            <w:szCs w:val="18"/>
          </w:rPr>
          <w:t>https://www.tcd.ie/academicpractice/resources/Gateway_to_Assessment/</w:t>
        </w:r>
      </w:hyperlink>
      <w:r w:rsidR="00862B04" w:rsidRPr="006D34E0">
        <w:rPr>
          <w:sz w:val="18"/>
          <w:szCs w:val="18"/>
        </w:rPr>
        <w:t xml:space="preserve"> </w:t>
      </w:r>
    </w:p>
    <w:p w14:paraId="200E8116" w14:textId="77777777" w:rsidR="00657FCF" w:rsidRDefault="00000000">
      <w:pPr>
        <w:pStyle w:val="ListParagraph"/>
        <w:numPr>
          <w:ilvl w:val="0"/>
          <w:numId w:val="1"/>
        </w:numPr>
        <w:tabs>
          <w:tab w:val="left" w:pos="819"/>
          <w:tab w:val="left" w:pos="820"/>
        </w:tabs>
        <w:ind w:right="236"/>
        <w:rPr>
          <w:color w:val="0D0D0D"/>
          <w:sz w:val="18"/>
        </w:rPr>
      </w:pPr>
      <w:r>
        <w:rPr>
          <w:color w:val="0D0D0D"/>
          <w:sz w:val="18"/>
        </w:rPr>
        <w:t>Bliss,</w:t>
      </w:r>
      <w:r>
        <w:rPr>
          <w:color w:val="0D0D0D"/>
          <w:spacing w:val="-3"/>
          <w:sz w:val="18"/>
        </w:rPr>
        <w:t xml:space="preserve"> </w:t>
      </w:r>
      <w:r>
        <w:rPr>
          <w:color w:val="0D0D0D"/>
          <w:sz w:val="18"/>
        </w:rPr>
        <w:t>S.</w:t>
      </w:r>
      <w:r>
        <w:rPr>
          <w:color w:val="0D0D0D"/>
          <w:spacing w:val="-3"/>
          <w:sz w:val="18"/>
        </w:rPr>
        <w:t xml:space="preserve"> </w:t>
      </w:r>
      <w:r>
        <w:rPr>
          <w:color w:val="0D0D0D"/>
          <w:sz w:val="18"/>
        </w:rPr>
        <w:t>et</w:t>
      </w:r>
      <w:r>
        <w:rPr>
          <w:color w:val="0D0D0D"/>
          <w:spacing w:val="-4"/>
          <w:sz w:val="18"/>
        </w:rPr>
        <w:t xml:space="preserve"> </w:t>
      </w:r>
      <w:r>
        <w:rPr>
          <w:color w:val="0D0D0D"/>
          <w:sz w:val="18"/>
        </w:rPr>
        <w:t>al,</w:t>
      </w:r>
      <w:r>
        <w:rPr>
          <w:color w:val="0D0D0D"/>
          <w:spacing w:val="-3"/>
          <w:sz w:val="18"/>
        </w:rPr>
        <w:t xml:space="preserve"> </w:t>
      </w:r>
      <w:r>
        <w:rPr>
          <w:color w:val="0D0D0D"/>
          <w:sz w:val="18"/>
        </w:rPr>
        <w:t>(2016),</w:t>
      </w:r>
      <w:r>
        <w:rPr>
          <w:color w:val="0D0D0D"/>
          <w:spacing w:val="-3"/>
          <w:sz w:val="18"/>
        </w:rPr>
        <w:t xml:space="preserve"> </w:t>
      </w:r>
      <w:r>
        <w:rPr>
          <w:i/>
          <w:color w:val="0D0D0D"/>
          <w:sz w:val="18"/>
        </w:rPr>
        <w:t>Strategic</w:t>
      </w:r>
      <w:r>
        <w:rPr>
          <w:i/>
          <w:color w:val="0D0D0D"/>
          <w:spacing w:val="-3"/>
          <w:sz w:val="18"/>
        </w:rPr>
        <w:t xml:space="preserve"> </w:t>
      </w:r>
      <w:r>
        <w:rPr>
          <w:i/>
          <w:color w:val="0D0D0D"/>
          <w:sz w:val="18"/>
        </w:rPr>
        <w:t>Enhancement</w:t>
      </w:r>
      <w:r>
        <w:rPr>
          <w:i/>
          <w:color w:val="0D0D0D"/>
          <w:spacing w:val="-4"/>
          <w:sz w:val="18"/>
        </w:rPr>
        <w:t xml:space="preserve"> </w:t>
      </w:r>
      <w:r>
        <w:rPr>
          <w:i/>
          <w:color w:val="0D0D0D"/>
          <w:sz w:val="18"/>
        </w:rPr>
        <w:t>Programme:</w:t>
      </w:r>
      <w:r>
        <w:rPr>
          <w:i/>
          <w:color w:val="0D0D0D"/>
          <w:spacing w:val="-3"/>
          <w:sz w:val="18"/>
        </w:rPr>
        <w:t xml:space="preserve"> </w:t>
      </w:r>
      <w:r>
        <w:rPr>
          <w:i/>
          <w:color w:val="0D0D0D"/>
          <w:sz w:val="18"/>
        </w:rPr>
        <w:t>Internationalising</w:t>
      </w:r>
      <w:r>
        <w:rPr>
          <w:i/>
          <w:color w:val="0D0D0D"/>
          <w:spacing w:val="-2"/>
          <w:sz w:val="18"/>
        </w:rPr>
        <w:t xml:space="preserve"> </w:t>
      </w:r>
      <w:r>
        <w:rPr>
          <w:i/>
          <w:color w:val="0D0D0D"/>
          <w:sz w:val="18"/>
        </w:rPr>
        <w:t>the</w:t>
      </w:r>
      <w:r>
        <w:rPr>
          <w:i/>
          <w:color w:val="0D0D0D"/>
          <w:spacing w:val="-3"/>
          <w:sz w:val="18"/>
        </w:rPr>
        <w:t xml:space="preserve"> </w:t>
      </w:r>
      <w:r>
        <w:rPr>
          <w:i/>
          <w:color w:val="0D0D0D"/>
          <w:sz w:val="18"/>
        </w:rPr>
        <w:t>curriculum</w:t>
      </w:r>
      <w:r>
        <w:rPr>
          <w:i/>
          <w:color w:val="0D0D0D"/>
          <w:spacing w:val="-4"/>
          <w:sz w:val="18"/>
        </w:rPr>
        <w:t xml:space="preserve"> </w:t>
      </w:r>
      <w:r>
        <w:rPr>
          <w:i/>
          <w:color w:val="0D0D0D"/>
          <w:sz w:val="18"/>
        </w:rPr>
        <w:t>toolkit.</w:t>
      </w:r>
      <w:r>
        <w:rPr>
          <w:i/>
          <w:color w:val="0D0D0D"/>
          <w:spacing w:val="-3"/>
          <w:sz w:val="18"/>
        </w:rPr>
        <w:t xml:space="preserve"> </w:t>
      </w:r>
      <w:r>
        <w:rPr>
          <w:color w:val="0D0D0D"/>
          <w:sz w:val="18"/>
        </w:rPr>
        <w:t>Higher</w:t>
      </w:r>
      <w:r>
        <w:rPr>
          <w:color w:val="0D0D0D"/>
          <w:spacing w:val="-3"/>
          <w:sz w:val="18"/>
        </w:rPr>
        <w:t xml:space="preserve"> </w:t>
      </w:r>
      <w:r>
        <w:rPr>
          <w:color w:val="0D0D0D"/>
          <w:sz w:val="18"/>
        </w:rPr>
        <w:t>Education</w:t>
      </w:r>
      <w:r>
        <w:rPr>
          <w:color w:val="0D0D0D"/>
          <w:spacing w:val="-4"/>
          <w:sz w:val="18"/>
        </w:rPr>
        <w:t xml:space="preserve"> </w:t>
      </w:r>
      <w:r>
        <w:rPr>
          <w:color w:val="0D0D0D"/>
          <w:sz w:val="18"/>
        </w:rPr>
        <w:t>Academy, Heslington, York, United Kingdom pp</w:t>
      </w:r>
      <w:r>
        <w:rPr>
          <w:color w:val="0D0D0D"/>
          <w:spacing w:val="-3"/>
          <w:sz w:val="18"/>
        </w:rPr>
        <w:t xml:space="preserve"> </w:t>
      </w:r>
      <w:r>
        <w:rPr>
          <w:color w:val="0D0D0D"/>
          <w:sz w:val="18"/>
        </w:rPr>
        <w:t>11-13</w:t>
      </w:r>
    </w:p>
    <w:p w14:paraId="677AE3FF" w14:textId="77777777" w:rsidR="00657FCF" w:rsidRDefault="00000000">
      <w:pPr>
        <w:pStyle w:val="ListParagraph"/>
        <w:numPr>
          <w:ilvl w:val="0"/>
          <w:numId w:val="1"/>
        </w:numPr>
        <w:tabs>
          <w:tab w:val="left" w:pos="819"/>
          <w:tab w:val="left" w:pos="820"/>
        </w:tabs>
        <w:ind w:right="382"/>
        <w:rPr>
          <w:color w:val="0D0D0D"/>
          <w:sz w:val="18"/>
        </w:rPr>
      </w:pPr>
      <w:r>
        <w:rPr>
          <w:color w:val="0D0D0D"/>
          <w:sz w:val="18"/>
        </w:rPr>
        <w:t>Carroll, J. &amp; Appleton J. (2007). Support and guidance for learning from an international perspective. In Jones, E. &amp; Brown, S. eds</w:t>
      </w:r>
      <w:r>
        <w:rPr>
          <w:i/>
          <w:color w:val="0D0D0D"/>
          <w:sz w:val="18"/>
        </w:rPr>
        <w:t>. Internationalising Higher Education</w:t>
      </w:r>
      <w:r>
        <w:rPr>
          <w:color w:val="0D0D0D"/>
          <w:sz w:val="18"/>
        </w:rPr>
        <w:t>, Abingdon Oxon, Routledge, pp 72-86.</w:t>
      </w:r>
      <w:r>
        <w:rPr>
          <w:color w:val="0000FF"/>
          <w:spacing w:val="-18"/>
          <w:sz w:val="18"/>
        </w:rPr>
        <w:t xml:space="preserve"> </w:t>
      </w:r>
      <w:hyperlink r:id="rId10">
        <w:r>
          <w:rPr>
            <w:color w:val="0000FF"/>
            <w:sz w:val="18"/>
            <w:u w:val="single" w:color="0000FF"/>
          </w:rPr>
          <w:t>https://doi.org/10.4324/9780203945964</w:t>
        </w:r>
      </w:hyperlink>
    </w:p>
    <w:p w14:paraId="70899C44" w14:textId="77777777" w:rsidR="00657FCF" w:rsidRDefault="00000000">
      <w:pPr>
        <w:pStyle w:val="ListParagraph"/>
        <w:numPr>
          <w:ilvl w:val="0"/>
          <w:numId w:val="1"/>
        </w:numPr>
        <w:tabs>
          <w:tab w:val="left" w:pos="819"/>
          <w:tab w:val="left" w:pos="820"/>
        </w:tabs>
        <w:ind w:right="598"/>
        <w:rPr>
          <w:sz w:val="18"/>
        </w:rPr>
      </w:pPr>
      <w:proofErr w:type="spellStart"/>
      <w:r>
        <w:rPr>
          <w:color w:val="0D0D0D"/>
          <w:sz w:val="18"/>
        </w:rPr>
        <w:t>Dimitriade</w:t>
      </w:r>
      <w:proofErr w:type="spellEnd"/>
      <w:r>
        <w:rPr>
          <w:color w:val="0D0D0D"/>
          <w:sz w:val="18"/>
        </w:rPr>
        <w:t xml:space="preserve">, I. A. (2015), </w:t>
      </w:r>
      <w:r>
        <w:rPr>
          <w:i/>
          <w:color w:val="0D0D0D"/>
          <w:sz w:val="18"/>
        </w:rPr>
        <w:t xml:space="preserve">Student Learning Development, Trinity College, Dublin, How to Study at Trinity as an International Undergraduate Student. </w:t>
      </w:r>
      <w:r>
        <w:rPr>
          <w:color w:val="0D0D0D"/>
          <w:sz w:val="18"/>
        </w:rPr>
        <w:t>Available at</w:t>
      </w:r>
      <w:hyperlink r:id="rId11">
        <w:r>
          <w:rPr>
            <w:color w:val="0000FF"/>
            <w:spacing w:val="-6"/>
            <w:sz w:val="18"/>
            <w:u w:val="single" w:color="0000FF"/>
          </w:rPr>
          <w:t xml:space="preserve"> </w:t>
        </w:r>
        <w:r>
          <w:rPr>
            <w:color w:val="0000FF"/>
            <w:sz w:val="18"/>
            <w:u w:val="single" w:color="0000FF"/>
          </w:rPr>
          <w:t>https://student-learning.tcd.ie/assets/PDF/How-to-study-in-Trinity.pdf</w:t>
        </w:r>
      </w:hyperlink>
    </w:p>
    <w:p w14:paraId="6A3CD124" w14:textId="062762BD" w:rsidR="00657FCF" w:rsidRDefault="00000000">
      <w:pPr>
        <w:pStyle w:val="ListParagraph"/>
        <w:numPr>
          <w:ilvl w:val="0"/>
          <w:numId w:val="1"/>
        </w:numPr>
        <w:tabs>
          <w:tab w:val="left" w:pos="819"/>
          <w:tab w:val="left" w:pos="820"/>
        </w:tabs>
        <w:ind w:right="128"/>
        <w:rPr>
          <w:sz w:val="18"/>
        </w:rPr>
      </w:pPr>
      <w:r>
        <w:rPr>
          <w:sz w:val="18"/>
          <w:u w:val="single"/>
        </w:rPr>
        <w:t>Mc</w:t>
      </w:r>
      <w:r>
        <w:rPr>
          <w:spacing w:val="-4"/>
          <w:sz w:val="18"/>
          <w:u w:val="single"/>
        </w:rPr>
        <w:t xml:space="preserve"> </w:t>
      </w:r>
      <w:r>
        <w:rPr>
          <w:sz w:val="18"/>
          <w:u w:val="single"/>
        </w:rPr>
        <w:t>Goldrick,</w:t>
      </w:r>
      <w:r>
        <w:rPr>
          <w:spacing w:val="-3"/>
          <w:sz w:val="18"/>
          <w:u w:val="single"/>
        </w:rPr>
        <w:t xml:space="preserve"> </w:t>
      </w:r>
      <w:r>
        <w:rPr>
          <w:sz w:val="18"/>
          <w:u w:val="single"/>
        </w:rPr>
        <w:t>N.</w:t>
      </w:r>
      <w:r>
        <w:rPr>
          <w:spacing w:val="-3"/>
          <w:sz w:val="18"/>
          <w:u w:val="single"/>
        </w:rPr>
        <w:t xml:space="preserve"> </w:t>
      </w:r>
      <w:r>
        <w:rPr>
          <w:sz w:val="18"/>
          <w:u w:val="single"/>
        </w:rPr>
        <w:t>(2019)</w:t>
      </w:r>
      <w:r>
        <w:rPr>
          <w:spacing w:val="-3"/>
          <w:sz w:val="18"/>
          <w:u w:val="single"/>
        </w:rPr>
        <w:t xml:space="preserve"> </w:t>
      </w:r>
      <w:r>
        <w:rPr>
          <w:sz w:val="18"/>
          <w:u w:val="single"/>
        </w:rPr>
        <w:t>Academic Practice,</w:t>
      </w:r>
      <w:r>
        <w:rPr>
          <w:spacing w:val="-4"/>
          <w:sz w:val="18"/>
          <w:u w:val="single"/>
        </w:rPr>
        <w:t xml:space="preserve"> </w:t>
      </w:r>
      <w:r>
        <w:rPr>
          <w:sz w:val="18"/>
          <w:u w:val="single"/>
        </w:rPr>
        <w:t>Trinity</w:t>
      </w:r>
      <w:r>
        <w:rPr>
          <w:spacing w:val="-3"/>
          <w:sz w:val="18"/>
          <w:u w:val="single"/>
        </w:rPr>
        <w:t xml:space="preserve"> </w:t>
      </w:r>
      <w:r>
        <w:rPr>
          <w:sz w:val="18"/>
          <w:u w:val="single"/>
        </w:rPr>
        <w:t>College</w:t>
      </w:r>
      <w:r>
        <w:rPr>
          <w:spacing w:val="-4"/>
          <w:sz w:val="18"/>
          <w:u w:val="single"/>
        </w:rPr>
        <w:t xml:space="preserve"> </w:t>
      </w:r>
      <w:r>
        <w:rPr>
          <w:sz w:val="18"/>
          <w:u w:val="single"/>
        </w:rPr>
        <w:t>Dublin,</w:t>
      </w:r>
      <w:r>
        <w:rPr>
          <w:spacing w:val="-3"/>
          <w:sz w:val="18"/>
          <w:u w:val="single"/>
        </w:rPr>
        <w:t xml:space="preserve"> </w:t>
      </w:r>
      <w:r>
        <w:rPr>
          <w:i/>
          <w:sz w:val="18"/>
          <w:u w:val="single"/>
        </w:rPr>
        <w:t>Managing</w:t>
      </w:r>
      <w:r>
        <w:rPr>
          <w:i/>
          <w:spacing w:val="-5"/>
          <w:sz w:val="18"/>
          <w:u w:val="single"/>
        </w:rPr>
        <w:t xml:space="preserve"> </w:t>
      </w:r>
      <w:r>
        <w:rPr>
          <w:i/>
          <w:sz w:val="18"/>
          <w:u w:val="single"/>
        </w:rPr>
        <w:t>Expectations</w:t>
      </w:r>
      <w:r>
        <w:rPr>
          <w:i/>
          <w:spacing w:val="-4"/>
          <w:sz w:val="18"/>
          <w:u w:val="single"/>
        </w:rPr>
        <w:t xml:space="preserve"> </w:t>
      </w:r>
      <w:r>
        <w:rPr>
          <w:i/>
          <w:sz w:val="18"/>
          <w:u w:val="single"/>
        </w:rPr>
        <w:t>for</w:t>
      </w:r>
      <w:r>
        <w:rPr>
          <w:i/>
          <w:spacing w:val="-3"/>
          <w:sz w:val="18"/>
          <w:u w:val="single"/>
        </w:rPr>
        <w:t xml:space="preserve"> </w:t>
      </w:r>
      <w:r>
        <w:rPr>
          <w:i/>
          <w:sz w:val="18"/>
          <w:u w:val="single"/>
        </w:rPr>
        <w:t>Multicultural</w:t>
      </w:r>
      <w:r>
        <w:rPr>
          <w:i/>
          <w:spacing w:val="-4"/>
          <w:sz w:val="18"/>
          <w:u w:val="single"/>
        </w:rPr>
        <w:t xml:space="preserve"> </w:t>
      </w:r>
      <w:r>
        <w:rPr>
          <w:i/>
          <w:sz w:val="18"/>
          <w:u w:val="single"/>
        </w:rPr>
        <w:t>Classrooms</w:t>
      </w:r>
      <w:r>
        <w:rPr>
          <w:sz w:val="18"/>
          <w:u w:val="single"/>
        </w:rPr>
        <w:t>.</w:t>
      </w:r>
      <w:r>
        <w:rPr>
          <w:spacing w:val="-3"/>
          <w:sz w:val="18"/>
          <w:u w:val="single"/>
        </w:rPr>
        <w:t xml:space="preserve"> </w:t>
      </w:r>
    </w:p>
    <w:p w14:paraId="3A303668" w14:textId="77777777" w:rsidR="00657FCF" w:rsidRDefault="00000000">
      <w:pPr>
        <w:pStyle w:val="ListParagraph"/>
        <w:numPr>
          <w:ilvl w:val="0"/>
          <w:numId w:val="1"/>
        </w:numPr>
        <w:tabs>
          <w:tab w:val="left" w:pos="819"/>
          <w:tab w:val="left" w:pos="820"/>
        </w:tabs>
        <w:rPr>
          <w:color w:val="0D0D0D"/>
          <w:sz w:val="18"/>
        </w:rPr>
      </w:pPr>
      <w:r>
        <w:rPr>
          <w:color w:val="0D0D0D"/>
          <w:sz w:val="18"/>
        </w:rPr>
        <w:t>Lanham,</w:t>
      </w:r>
      <w:r>
        <w:rPr>
          <w:color w:val="0D0D0D"/>
          <w:spacing w:val="-3"/>
          <w:sz w:val="18"/>
        </w:rPr>
        <w:t xml:space="preserve"> </w:t>
      </w:r>
      <w:r>
        <w:rPr>
          <w:color w:val="0D0D0D"/>
          <w:sz w:val="18"/>
        </w:rPr>
        <w:t>E.</w:t>
      </w:r>
      <w:r>
        <w:rPr>
          <w:color w:val="0D0D0D"/>
          <w:spacing w:val="-2"/>
          <w:sz w:val="18"/>
        </w:rPr>
        <w:t xml:space="preserve"> </w:t>
      </w:r>
      <w:r>
        <w:rPr>
          <w:color w:val="0D0D0D"/>
          <w:sz w:val="18"/>
        </w:rPr>
        <w:t>&amp;</w:t>
      </w:r>
      <w:r>
        <w:rPr>
          <w:color w:val="0D0D0D"/>
          <w:spacing w:val="-3"/>
          <w:sz w:val="18"/>
        </w:rPr>
        <w:t xml:space="preserve"> </w:t>
      </w:r>
      <w:r>
        <w:rPr>
          <w:color w:val="0D0D0D"/>
          <w:sz w:val="18"/>
        </w:rPr>
        <w:t>Zhou,</w:t>
      </w:r>
      <w:r>
        <w:rPr>
          <w:color w:val="0D0D0D"/>
          <w:spacing w:val="-2"/>
          <w:sz w:val="18"/>
        </w:rPr>
        <w:t xml:space="preserve"> </w:t>
      </w:r>
      <w:r>
        <w:rPr>
          <w:color w:val="0D0D0D"/>
          <w:sz w:val="18"/>
        </w:rPr>
        <w:t>W.</w:t>
      </w:r>
      <w:r>
        <w:rPr>
          <w:color w:val="0D0D0D"/>
          <w:spacing w:val="-2"/>
          <w:sz w:val="18"/>
        </w:rPr>
        <w:t xml:space="preserve"> </w:t>
      </w:r>
      <w:r>
        <w:rPr>
          <w:color w:val="0D0D0D"/>
          <w:sz w:val="18"/>
        </w:rPr>
        <w:t>(2003).</w:t>
      </w:r>
      <w:r>
        <w:rPr>
          <w:color w:val="0D0D0D"/>
          <w:spacing w:val="-2"/>
          <w:sz w:val="18"/>
        </w:rPr>
        <w:t xml:space="preserve"> </w:t>
      </w:r>
      <w:r>
        <w:rPr>
          <w:color w:val="0D0D0D"/>
          <w:sz w:val="18"/>
        </w:rPr>
        <w:t>Cultural</w:t>
      </w:r>
      <w:r>
        <w:rPr>
          <w:color w:val="0D0D0D"/>
          <w:spacing w:val="-3"/>
          <w:sz w:val="18"/>
        </w:rPr>
        <w:t xml:space="preserve"> </w:t>
      </w:r>
      <w:r>
        <w:rPr>
          <w:color w:val="0D0D0D"/>
          <w:sz w:val="18"/>
        </w:rPr>
        <w:t>issues</w:t>
      </w:r>
      <w:r>
        <w:rPr>
          <w:color w:val="0D0D0D"/>
          <w:spacing w:val="-3"/>
          <w:sz w:val="18"/>
        </w:rPr>
        <w:t xml:space="preserve"> </w:t>
      </w:r>
      <w:r>
        <w:rPr>
          <w:color w:val="0D0D0D"/>
          <w:sz w:val="18"/>
        </w:rPr>
        <w:t>in</w:t>
      </w:r>
      <w:r>
        <w:rPr>
          <w:color w:val="0D0D0D"/>
          <w:spacing w:val="-3"/>
          <w:sz w:val="18"/>
        </w:rPr>
        <w:t xml:space="preserve"> </w:t>
      </w:r>
      <w:r>
        <w:rPr>
          <w:color w:val="0D0D0D"/>
          <w:sz w:val="18"/>
        </w:rPr>
        <w:t>online</w:t>
      </w:r>
      <w:r>
        <w:rPr>
          <w:color w:val="0D0D0D"/>
          <w:spacing w:val="-3"/>
          <w:sz w:val="18"/>
        </w:rPr>
        <w:t xml:space="preserve"> </w:t>
      </w:r>
      <w:r>
        <w:rPr>
          <w:color w:val="0D0D0D"/>
          <w:sz w:val="18"/>
        </w:rPr>
        <w:t>learning—is</w:t>
      </w:r>
      <w:r>
        <w:rPr>
          <w:color w:val="0D0D0D"/>
          <w:spacing w:val="-2"/>
          <w:sz w:val="18"/>
        </w:rPr>
        <w:t xml:space="preserve"> </w:t>
      </w:r>
      <w:r>
        <w:rPr>
          <w:color w:val="0D0D0D"/>
          <w:sz w:val="18"/>
        </w:rPr>
        <w:t>blended</w:t>
      </w:r>
      <w:r>
        <w:rPr>
          <w:color w:val="0D0D0D"/>
          <w:spacing w:val="-1"/>
          <w:sz w:val="18"/>
        </w:rPr>
        <w:t xml:space="preserve"> </w:t>
      </w:r>
      <w:r>
        <w:rPr>
          <w:color w:val="0D0D0D"/>
          <w:sz w:val="18"/>
        </w:rPr>
        <w:t>learning</w:t>
      </w:r>
      <w:r>
        <w:rPr>
          <w:color w:val="0D0D0D"/>
          <w:spacing w:val="-3"/>
          <w:sz w:val="18"/>
        </w:rPr>
        <w:t xml:space="preserve"> </w:t>
      </w:r>
      <w:r>
        <w:rPr>
          <w:color w:val="0D0D0D"/>
          <w:sz w:val="18"/>
        </w:rPr>
        <w:t>a possible</w:t>
      </w:r>
      <w:r>
        <w:rPr>
          <w:color w:val="0D0D0D"/>
          <w:spacing w:val="-3"/>
          <w:sz w:val="18"/>
        </w:rPr>
        <w:t xml:space="preserve"> </w:t>
      </w:r>
      <w:r>
        <w:rPr>
          <w:color w:val="0D0D0D"/>
          <w:sz w:val="18"/>
        </w:rPr>
        <w:t>solution</w:t>
      </w:r>
      <w:r>
        <w:rPr>
          <w:color w:val="0D0D0D"/>
          <w:sz w:val="18"/>
          <w:u w:val="single" w:color="0D0D0D"/>
        </w:rPr>
        <w:t>?</w:t>
      </w:r>
      <w:r>
        <w:rPr>
          <w:color w:val="0D0D0D"/>
          <w:spacing w:val="-2"/>
          <w:sz w:val="18"/>
          <w:u w:val="single" w:color="0D0D0D"/>
        </w:rPr>
        <w:t xml:space="preserve"> </w:t>
      </w:r>
      <w:r>
        <w:rPr>
          <w:color w:val="0D0D0D"/>
          <w:sz w:val="18"/>
          <w:u w:val="single" w:color="0D0D0D"/>
        </w:rPr>
        <w:t>International</w:t>
      </w:r>
      <w:r>
        <w:rPr>
          <w:color w:val="0D0D0D"/>
          <w:spacing w:val="-3"/>
          <w:sz w:val="18"/>
          <w:u w:val="single" w:color="0D0D0D"/>
        </w:rPr>
        <w:t xml:space="preserve"> </w:t>
      </w:r>
      <w:r>
        <w:rPr>
          <w:color w:val="0D0D0D"/>
          <w:sz w:val="18"/>
          <w:u w:val="single" w:color="0D0D0D"/>
        </w:rPr>
        <w:t>Journal of Computer Processing of Oriental Languages</w:t>
      </w:r>
      <w:r>
        <w:rPr>
          <w:color w:val="0D0D0D"/>
          <w:sz w:val="18"/>
        </w:rPr>
        <w:t xml:space="preserve"> 16(4),</w:t>
      </w:r>
      <w:r>
        <w:rPr>
          <w:color w:val="0D0D0D"/>
          <w:spacing w:val="-6"/>
          <w:sz w:val="18"/>
        </w:rPr>
        <w:t xml:space="preserve"> </w:t>
      </w:r>
      <w:r>
        <w:rPr>
          <w:color w:val="0D0D0D"/>
          <w:sz w:val="18"/>
        </w:rPr>
        <w:t>275-292.</w:t>
      </w:r>
    </w:p>
    <w:p w14:paraId="66A415EF" w14:textId="77777777" w:rsidR="00657FCF" w:rsidRDefault="00000000">
      <w:pPr>
        <w:pStyle w:val="ListParagraph"/>
        <w:numPr>
          <w:ilvl w:val="0"/>
          <w:numId w:val="1"/>
        </w:numPr>
        <w:tabs>
          <w:tab w:val="left" w:pos="819"/>
          <w:tab w:val="left" w:pos="820"/>
        </w:tabs>
        <w:spacing w:before="1"/>
        <w:ind w:left="819" w:right="718"/>
        <w:rPr>
          <w:color w:val="0D0D0D"/>
          <w:sz w:val="18"/>
        </w:rPr>
      </w:pPr>
      <w:r>
        <w:rPr>
          <w:color w:val="0D0D0D"/>
          <w:sz w:val="18"/>
        </w:rPr>
        <w:t>Liu,</w:t>
      </w:r>
      <w:r>
        <w:rPr>
          <w:color w:val="0D0D0D"/>
          <w:spacing w:val="-3"/>
          <w:sz w:val="18"/>
        </w:rPr>
        <w:t xml:space="preserve"> </w:t>
      </w:r>
      <w:r>
        <w:rPr>
          <w:color w:val="0D0D0D"/>
          <w:sz w:val="18"/>
        </w:rPr>
        <w:t>Xi.,</w:t>
      </w:r>
      <w:r>
        <w:rPr>
          <w:color w:val="0D0D0D"/>
          <w:spacing w:val="-2"/>
          <w:sz w:val="18"/>
        </w:rPr>
        <w:t xml:space="preserve"> </w:t>
      </w:r>
      <w:r>
        <w:rPr>
          <w:color w:val="0D0D0D"/>
          <w:sz w:val="18"/>
        </w:rPr>
        <w:t>Liu,</w:t>
      </w:r>
      <w:r>
        <w:rPr>
          <w:color w:val="0D0D0D"/>
          <w:spacing w:val="-3"/>
          <w:sz w:val="18"/>
        </w:rPr>
        <w:t xml:space="preserve"> </w:t>
      </w:r>
      <w:r>
        <w:rPr>
          <w:color w:val="0D0D0D"/>
          <w:sz w:val="18"/>
        </w:rPr>
        <w:t>S.,</w:t>
      </w:r>
      <w:r>
        <w:rPr>
          <w:color w:val="0D0D0D"/>
          <w:spacing w:val="-2"/>
          <w:sz w:val="18"/>
        </w:rPr>
        <w:t xml:space="preserve"> </w:t>
      </w:r>
      <w:r>
        <w:rPr>
          <w:color w:val="0D0D0D"/>
          <w:sz w:val="18"/>
        </w:rPr>
        <w:t>Lee,</w:t>
      </w:r>
      <w:r>
        <w:rPr>
          <w:color w:val="0D0D0D"/>
          <w:spacing w:val="-2"/>
          <w:sz w:val="18"/>
        </w:rPr>
        <w:t xml:space="preserve"> </w:t>
      </w:r>
      <w:r>
        <w:rPr>
          <w:color w:val="0D0D0D"/>
          <w:sz w:val="18"/>
        </w:rPr>
        <w:t>S.,</w:t>
      </w:r>
      <w:r>
        <w:rPr>
          <w:color w:val="0D0D0D"/>
          <w:spacing w:val="-3"/>
          <w:sz w:val="18"/>
        </w:rPr>
        <w:t xml:space="preserve"> </w:t>
      </w:r>
      <w:r>
        <w:rPr>
          <w:color w:val="0D0D0D"/>
          <w:sz w:val="18"/>
        </w:rPr>
        <w:t>&amp;</w:t>
      </w:r>
      <w:r>
        <w:rPr>
          <w:color w:val="0D0D0D"/>
          <w:spacing w:val="-3"/>
          <w:sz w:val="18"/>
        </w:rPr>
        <w:t xml:space="preserve"> </w:t>
      </w:r>
      <w:proofErr w:type="spellStart"/>
      <w:r>
        <w:rPr>
          <w:color w:val="0D0D0D"/>
          <w:sz w:val="18"/>
        </w:rPr>
        <w:t>Magjuka</w:t>
      </w:r>
      <w:proofErr w:type="spellEnd"/>
      <w:r>
        <w:rPr>
          <w:color w:val="0D0D0D"/>
          <w:sz w:val="18"/>
        </w:rPr>
        <w:t>,</w:t>
      </w:r>
      <w:r>
        <w:rPr>
          <w:color w:val="0D0D0D"/>
          <w:spacing w:val="-2"/>
          <w:sz w:val="18"/>
        </w:rPr>
        <w:t xml:space="preserve"> </w:t>
      </w:r>
      <w:r>
        <w:rPr>
          <w:color w:val="0D0D0D"/>
          <w:sz w:val="18"/>
        </w:rPr>
        <w:t>R.J.</w:t>
      </w:r>
      <w:r>
        <w:rPr>
          <w:color w:val="0D0D0D"/>
          <w:spacing w:val="-3"/>
          <w:sz w:val="18"/>
        </w:rPr>
        <w:t xml:space="preserve"> </w:t>
      </w:r>
      <w:r>
        <w:rPr>
          <w:color w:val="0D0D0D"/>
          <w:sz w:val="18"/>
        </w:rPr>
        <w:t>(2010).</w:t>
      </w:r>
      <w:r>
        <w:rPr>
          <w:color w:val="0D0D0D"/>
          <w:spacing w:val="-2"/>
          <w:sz w:val="18"/>
        </w:rPr>
        <w:t xml:space="preserve"> </w:t>
      </w:r>
      <w:r>
        <w:rPr>
          <w:color w:val="0D0D0D"/>
          <w:sz w:val="18"/>
        </w:rPr>
        <w:t>Cultural</w:t>
      </w:r>
      <w:r>
        <w:rPr>
          <w:color w:val="0D0D0D"/>
          <w:spacing w:val="-4"/>
          <w:sz w:val="18"/>
        </w:rPr>
        <w:t xml:space="preserve"> </w:t>
      </w:r>
      <w:r>
        <w:rPr>
          <w:color w:val="0D0D0D"/>
          <w:sz w:val="18"/>
        </w:rPr>
        <w:t>Differences</w:t>
      </w:r>
      <w:r>
        <w:rPr>
          <w:color w:val="0D0D0D"/>
          <w:spacing w:val="-1"/>
          <w:sz w:val="18"/>
        </w:rPr>
        <w:t xml:space="preserve"> </w:t>
      </w:r>
      <w:r>
        <w:rPr>
          <w:color w:val="0D0D0D"/>
          <w:sz w:val="18"/>
        </w:rPr>
        <w:t>in</w:t>
      </w:r>
      <w:r>
        <w:rPr>
          <w:color w:val="0D0D0D"/>
          <w:spacing w:val="-3"/>
          <w:sz w:val="18"/>
        </w:rPr>
        <w:t xml:space="preserve"> </w:t>
      </w:r>
      <w:r>
        <w:rPr>
          <w:color w:val="0D0D0D"/>
          <w:sz w:val="18"/>
        </w:rPr>
        <w:t>Online</w:t>
      </w:r>
      <w:r>
        <w:rPr>
          <w:color w:val="0D0D0D"/>
          <w:spacing w:val="-4"/>
          <w:sz w:val="18"/>
        </w:rPr>
        <w:t xml:space="preserve"> </w:t>
      </w:r>
      <w:r>
        <w:rPr>
          <w:color w:val="0D0D0D"/>
          <w:sz w:val="18"/>
        </w:rPr>
        <w:t>learning:</w:t>
      </w:r>
      <w:r>
        <w:rPr>
          <w:color w:val="0D0D0D"/>
          <w:spacing w:val="-2"/>
          <w:sz w:val="18"/>
        </w:rPr>
        <w:t xml:space="preserve"> </w:t>
      </w:r>
      <w:r>
        <w:rPr>
          <w:color w:val="0D0D0D"/>
          <w:sz w:val="18"/>
        </w:rPr>
        <w:t>International student</w:t>
      </w:r>
      <w:r>
        <w:rPr>
          <w:color w:val="0D0D0D"/>
          <w:spacing w:val="-4"/>
          <w:sz w:val="18"/>
        </w:rPr>
        <w:t xml:space="preserve"> </w:t>
      </w:r>
      <w:r>
        <w:rPr>
          <w:color w:val="0D0D0D"/>
          <w:sz w:val="18"/>
        </w:rPr>
        <w:t>perceptions.</w:t>
      </w:r>
      <w:r>
        <w:rPr>
          <w:color w:val="0D0D0D"/>
          <w:sz w:val="18"/>
          <w:u w:val="single" w:color="0D0D0D"/>
        </w:rPr>
        <w:t xml:space="preserve"> Educational Technology &amp; Society</w:t>
      </w:r>
      <w:r>
        <w:rPr>
          <w:color w:val="0D0D0D"/>
          <w:sz w:val="18"/>
        </w:rPr>
        <w:t xml:space="preserve"> 13(3),</w:t>
      </w:r>
      <w:r>
        <w:rPr>
          <w:color w:val="0D0D0D"/>
          <w:spacing w:val="-3"/>
          <w:sz w:val="18"/>
        </w:rPr>
        <w:t xml:space="preserve"> </w:t>
      </w:r>
      <w:r>
        <w:rPr>
          <w:color w:val="0D0D0D"/>
          <w:sz w:val="18"/>
        </w:rPr>
        <w:t>177-188.</w:t>
      </w:r>
    </w:p>
    <w:p w14:paraId="3FEA7014" w14:textId="77777777" w:rsidR="00657FCF" w:rsidRDefault="00000000">
      <w:pPr>
        <w:pStyle w:val="ListParagraph"/>
        <w:numPr>
          <w:ilvl w:val="0"/>
          <w:numId w:val="1"/>
        </w:numPr>
        <w:tabs>
          <w:tab w:val="left" w:pos="819"/>
          <w:tab w:val="left" w:pos="820"/>
        </w:tabs>
        <w:ind w:right="556"/>
        <w:rPr>
          <w:color w:val="0D0D0D"/>
          <w:sz w:val="18"/>
        </w:rPr>
      </w:pPr>
      <w:r>
        <w:rPr>
          <w:color w:val="0D0D0D"/>
          <w:sz w:val="18"/>
        </w:rPr>
        <w:t>Wang, C. &amp; Reeves, T.C. (2007). Synchronous online learning experiences: The perspectives of international students from Taiwan</w:t>
      </w:r>
      <w:r>
        <w:rPr>
          <w:color w:val="0D0D0D"/>
          <w:sz w:val="18"/>
          <w:u w:val="single" w:color="0D0D0D"/>
        </w:rPr>
        <w:t>. Educational Media International 44(4)</w:t>
      </w:r>
      <w:r>
        <w:rPr>
          <w:color w:val="0D0D0D"/>
          <w:sz w:val="18"/>
        </w:rPr>
        <w:t>,</w:t>
      </w:r>
      <w:r>
        <w:rPr>
          <w:color w:val="0D0D0D"/>
          <w:spacing w:val="-3"/>
          <w:sz w:val="18"/>
        </w:rPr>
        <w:t xml:space="preserve"> </w:t>
      </w:r>
      <w:r>
        <w:rPr>
          <w:color w:val="0D0D0D"/>
          <w:sz w:val="18"/>
        </w:rPr>
        <w:t>339-356.</w:t>
      </w:r>
    </w:p>
    <w:sectPr w:rsidR="00657FCF">
      <w:pgSz w:w="12240" w:h="15840"/>
      <w:pgMar w:top="1560" w:right="980" w:bottom="840" w:left="98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6DB7" w14:textId="77777777" w:rsidR="00D7427F" w:rsidRDefault="00D7427F">
      <w:r>
        <w:separator/>
      </w:r>
    </w:p>
  </w:endnote>
  <w:endnote w:type="continuationSeparator" w:id="0">
    <w:p w14:paraId="76BD375F" w14:textId="77777777" w:rsidR="00D7427F" w:rsidRDefault="00D7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EAF4" w14:textId="77777777" w:rsidR="00657FCF" w:rsidRDefault="00000000">
    <w:pPr>
      <w:pStyle w:val="BodyText"/>
      <w:spacing w:line="14" w:lineRule="auto"/>
      <w:ind w:left="0"/>
      <w:rPr>
        <w:sz w:val="20"/>
      </w:rPr>
    </w:pPr>
    <w:r>
      <w:pict w14:anchorId="7A1DF0B2">
        <v:group id="_x0000_s1027" style="position:absolute;margin-left:.65pt;margin-top:745.25pt;width:611.35pt;height:44.7pt;z-index:-251776000;mso-position-horizontal-relative:page;mso-position-vertical-relative:page" coordorigin="13,14905" coordsize="12227,894">
          <v:shape id="_x0000_s1031" style="position:absolute;left:13;top:14905;width:12227;height:894" coordorigin="13,14905" coordsize="12227,894" path="m12240,14912r-2853,l9387,14905r-7551,l1836,14912r-1823,l13,15798r12227,l12240,14912e" fillcolor="#375f92" stroked="f">
            <v:path arrowok="t"/>
          </v:shape>
          <v:rect id="_x0000_s1030" style="position:absolute;left:11220;top:15042;width:765;height:511" fillcolor="#d9d9d9" stroked="f"/>
          <v:rect id="_x0000_s1029" style="position:absolute;left:11220;top:15042;width:765;height:511" filled="f" strokecolor="#375f92"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05;top:15076;width:1665;height:582">
            <v:imagedata r:id="rId1" o:title=""/>
          </v:shape>
          <w10:wrap anchorx="page" anchory="page"/>
        </v:group>
      </w:pict>
    </w:r>
    <w:r>
      <w:pict w14:anchorId="69A7D812">
        <v:shapetype id="_x0000_t202" coordsize="21600,21600" o:spt="202" path="m,l,21600r21600,l21600,xe">
          <v:stroke joinstyle="miter"/>
          <v:path gradientshapeok="t" o:connecttype="rect"/>
        </v:shapetype>
        <v:shape id="_x0000_s1026" type="#_x0000_t202" style="position:absolute;margin-left:98.25pt;margin-top:750.15pt;width:326.75pt;height:36.45pt;z-index:-251774976;mso-position-horizontal-relative:page;mso-position-vertical-relative:page" filled="f" stroked="f">
          <v:textbox inset="0,0,0,0">
            <w:txbxContent>
              <w:p w14:paraId="5DEA93E2" w14:textId="77777777" w:rsidR="00657FCF" w:rsidRDefault="00000000">
                <w:pPr>
                  <w:spacing w:line="223" w:lineRule="exact"/>
                  <w:ind w:left="20"/>
                  <w:rPr>
                    <w:b/>
                    <w:sz w:val="20"/>
                  </w:rPr>
                </w:pPr>
                <w:r>
                  <w:rPr>
                    <w:b/>
                    <w:color w:val="FFFFFF"/>
                    <w:sz w:val="20"/>
                  </w:rPr>
                  <w:t>Academic Practice, Trinity College Dublin, 2021.</w:t>
                </w:r>
              </w:p>
              <w:p w14:paraId="0B3832F3" w14:textId="77777777" w:rsidR="00657FCF" w:rsidRDefault="00000000">
                <w:pPr>
                  <w:ind w:left="20" w:right="-1"/>
                  <w:rPr>
                    <w:sz w:val="20"/>
                  </w:rPr>
                </w:pPr>
                <w:r>
                  <w:rPr>
                    <w:color w:val="FFFFFF"/>
                    <w:sz w:val="20"/>
                  </w:rPr>
                  <w:t>Licensed under a Creative Commons Attribution-</w:t>
                </w:r>
                <w:proofErr w:type="spellStart"/>
                <w:r>
                  <w:rPr>
                    <w:color w:val="FFFFFF"/>
                    <w:sz w:val="20"/>
                  </w:rPr>
                  <w:t>NonCommercial</w:t>
                </w:r>
                <w:proofErr w:type="spellEnd"/>
                <w:r>
                  <w:rPr>
                    <w:color w:val="FFFFFF"/>
                    <w:sz w:val="20"/>
                  </w:rPr>
                  <w:t>-</w:t>
                </w:r>
                <w:proofErr w:type="spellStart"/>
                <w:r>
                  <w:rPr>
                    <w:color w:val="FFFFFF"/>
                    <w:sz w:val="20"/>
                  </w:rPr>
                  <w:t>ShareAlike</w:t>
                </w:r>
                <w:proofErr w:type="spellEnd"/>
                <w:r>
                  <w:rPr>
                    <w:color w:val="FFFFFF"/>
                    <w:sz w:val="20"/>
                  </w:rPr>
                  <w:t xml:space="preserve"> 4.0 International License: </w:t>
                </w:r>
                <w:proofErr w:type="gramStart"/>
                <w:r>
                  <w:rPr>
                    <w:color w:val="FFFFFF"/>
                    <w:sz w:val="20"/>
                  </w:rPr>
                  <w:t>https://creativecommons.org/licenses/by-nc-sa/4.0</w:t>
                </w:r>
                <w:proofErr w:type="gramEnd"/>
              </w:p>
            </w:txbxContent>
          </v:textbox>
          <w10:wrap anchorx="page" anchory="page"/>
        </v:shape>
      </w:pict>
    </w:r>
    <w:r>
      <w:pict w14:anchorId="67190AAC">
        <v:shape id="_x0000_s1025" type="#_x0000_t202" style="position:absolute;margin-left:573.95pt;margin-top:758.1pt;width:12.1pt;height:14pt;z-index:-251773952;mso-position-horizontal-relative:page;mso-position-vertical-relative:page" filled="f" stroked="f">
          <v:textbox inset="0,0,0,0">
            <w:txbxContent>
              <w:p w14:paraId="61FC35E7" w14:textId="77777777" w:rsidR="00657FCF" w:rsidRDefault="00000000">
                <w:pPr>
                  <w:spacing w:line="264" w:lineRule="exact"/>
                  <w:ind w:left="60"/>
                  <w:rPr>
                    <w:b/>
                    <w:sz w:val="24"/>
                  </w:rPr>
                </w:pPr>
                <w:r>
                  <w:fldChar w:fldCharType="begin"/>
                </w:r>
                <w:r>
                  <w:rPr>
                    <w:b/>
                    <w:color w:val="0D0D0D"/>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A3A1C" w14:textId="77777777" w:rsidR="00D7427F" w:rsidRDefault="00D7427F">
      <w:r>
        <w:separator/>
      </w:r>
    </w:p>
  </w:footnote>
  <w:footnote w:type="continuationSeparator" w:id="0">
    <w:p w14:paraId="2FB9A82D" w14:textId="77777777" w:rsidR="00D7427F" w:rsidRDefault="00D7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65CE" w14:textId="77777777" w:rsidR="00657FCF" w:rsidRDefault="00000000">
    <w:pPr>
      <w:pStyle w:val="BodyText"/>
      <w:spacing w:line="14" w:lineRule="auto"/>
      <w:ind w:left="0"/>
      <w:rPr>
        <w:sz w:val="20"/>
      </w:rPr>
    </w:pPr>
    <w:r>
      <w:pict w14:anchorId="2287FBC3">
        <v:group id="_x0000_s1033" style="position:absolute;margin-left:0;margin-top:0;width:612pt;height:71.25pt;z-index:-251778048;mso-position-horizontal-relative:page;mso-position-vertical-relative:page" coordsize="12240,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9465;width:2775;height:1425">
            <v:imagedata r:id="rId1" o:title=""/>
          </v:shape>
          <v:shape id="_x0000_s1035" style="position:absolute;left:1641;width:8694;height:1425" coordorigin="1642" coordsize="8694,1425" path="m9623,l1642,r,1425l9623,1425r712,-712l9623,xe" stroked="f">
            <v:path arrowok="t"/>
          </v:shape>
          <v:shape id="_x0000_s1034" style="position:absolute;width:9872;height:1425" coordsize="9872,1425" path="m9159,l,,,1425r9159,l9871,712,9159,xe" fillcolor="#375f92" stroked="f">
            <v:path arrowok="t"/>
          </v:shape>
          <w10:wrap anchorx="page" anchory="page"/>
        </v:group>
      </w:pict>
    </w:r>
    <w:r>
      <w:pict w14:anchorId="55D2268E">
        <v:shapetype id="_x0000_t202" coordsize="21600,21600" o:spt="202" path="m,l,21600r21600,l21600,xe">
          <v:stroke joinstyle="miter"/>
          <v:path gradientshapeok="t" o:connecttype="rect"/>
        </v:shapetype>
        <v:shape id="_x0000_s1032" type="#_x0000_t202" style="position:absolute;margin-left:60.45pt;margin-top:23.25pt;width:240.55pt;height:28.65pt;z-index:-251777024;mso-position-horizontal-relative:page;mso-position-vertical-relative:page" filled="f" stroked="f">
          <v:textbox inset="0,0,0,0">
            <w:txbxContent>
              <w:p w14:paraId="46BB440C" w14:textId="77777777" w:rsidR="00657FCF" w:rsidRDefault="00000000">
                <w:pPr>
                  <w:spacing w:line="264" w:lineRule="exact"/>
                  <w:ind w:left="20"/>
                  <w:rPr>
                    <w:sz w:val="24"/>
                  </w:rPr>
                </w:pPr>
                <w:r>
                  <w:rPr>
                    <w:color w:val="FFFFFF"/>
                    <w:sz w:val="24"/>
                  </w:rPr>
                  <w:t>Academic Practice</w:t>
                </w:r>
                <w:r>
                  <w:rPr>
                    <w:b/>
                    <w:color w:val="FFFFFF"/>
                    <w:sz w:val="24"/>
                  </w:rPr>
                  <w:t xml:space="preserve">, </w:t>
                </w:r>
                <w:r>
                  <w:rPr>
                    <w:color w:val="FFFFFF"/>
                    <w:sz w:val="24"/>
                  </w:rPr>
                  <w:t>Trinity Teaching and Learning</w:t>
                </w:r>
              </w:p>
              <w:p w14:paraId="192E58DA" w14:textId="77777777" w:rsidR="00657FCF" w:rsidRDefault="00000000">
                <w:pPr>
                  <w:ind w:left="20"/>
                  <w:rPr>
                    <w:sz w:val="24"/>
                  </w:rPr>
                </w:pPr>
                <w:r>
                  <w:rPr>
                    <w:color w:val="FFFFFF"/>
                    <w:sz w:val="24"/>
                  </w:rPr>
                  <w:t>RESOURCES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E55"/>
    <w:multiLevelType w:val="hybridMultilevel"/>
    <w:tmpl w:val="98F8E102"/>
    <w:lvl w:ilvl="0" w:tplc="A5CE6916">
      <w:start w:val="1"/>
      <w:numFmt w:val="decimal"/>
      <w:lvlText w:val="%1."/>
      <w:lvlJc w:val="left"/>
      <w:pPr>
        <w:ind w:left="820" w:hanging="360"/>
        <w:jc w:val="left"/>
      </w:pPr>
      <w:rPr>
        <w:rFonts w:hint="default"/>
        <w:spacing w:val="-2"/>
        <w:w w:val="100"/>
        <w:lang w:val="en-IE" w:eastAsia="en-IE" w:bidi="en-IE"/>
      </w:rPr>
    </w:lvl>
    <w:lvl w:ilvl="1" w:tplc="E792797E">
      <w:numFmt w:val="bullet"/>
      <w:lvlText w:val="•"/>
      <w:lvlJc w:val="left"/>
      <w:pPr>
        <w:ind w:left="1766" w:hanging="360"/>
      </w:pPr>
      <w:rPr>
        <w:rFonts w:hint="default"/>
        <w:lang w:val="en-IE" w:eastAsia="en-IE" w:bidi="en-IE"/>
      </w:rPr>
    </w:lvl>
    <w:lvl w:ilvl="2" w:tplc="52F61778">
      <w:numFmt w:val="bullet"/>
      <w:lvlText w:val="•"/>
      <w:lvlJc w:val="left"/>
      <w:pPr>
        <w:ind w:left="2712" w:hanging="360"/>
      </w:pPr>
      <w:rPr>
        <w:rFonts w:hint="default"/>
        <w:lang w:val="en-IE" w:eastAsia="en-IE" w:bidi="en-IE"/>
      </w:rPr>
    </w:lvl>
    <w:lvl w:ilvl="3" w:tplc="BEDEF92E">
      <w:numFmt w:val="bullet"/>
      <w:lvlText w:val="•"/>
      <w:lvlJc w:val="left"/>
      <w:pPr>
        <w:ind w:left="3658" w:hanging="360"/>
      </w:pPr>
      <w:rPr>
        <w:rFonts w:hint="default"/>
        <w:lang w:val="en-IE" w:eastAsia="en-IE" w:bidi="en-IE"/>
      </w:rPr>
    </w:lvl>
    <w:lvl w:ilvl="4" w:tplc="07A0D424">
      <w:numFmt w:val="bullet"/>
      <w:lvlText w:val="•"/>
      <w:lvlJc w:val="left"/>
      <w:pPr>
        <w:ind w:left="4604" w:hanging="360"/>
      </w:pPr>
      <w:rPr>
        <w:rFonts w:hint="default"/>
        <w:lang w:val="en-IE" w:eastAsia="en-IE" w:bidi="en-IE"/>
      </w:rPr>
    </w:lvl>
    <w:lvl w:ilvl="5" w:tplc="E72C0932">
      <w:numFmt w:val="bullet"/>
      <w:lvlText w:val="•"/>
      <w:lvlJc w:val="left"/>
      <w:pPr>
        <w:ind w:left="5550" w:hanging="360"/>
      </w:pPr>
      <w:rPr>
        <w:rFonts w:hint="default"/>
        <w:lang w:val="en-IE" w:eastAsia="en-IE" w:bidi="en-IE"/>
      </w:rPr>
    </w:lvl>
    <w:lvl w:ilvl="6" w:tplc="2A464E1C">
      <w:numFmt w:val="bullet"/>
      <w:lvlText w:val="•"/>
      <w:lvlJc w:val="left"/>
      <w:pPr>
        <w:ind w:left="6496" w:hanging="360"/>
      </w:pPr>
      <w:rPr>
        <w:rFonts w:hint="default"/>
        <w:lang w:val="en-IE" w:eastAsia="en-IE" w:bidi="en-IE"/>
      </w:rPr>
    </w:lvl>
    <w:lvl w:ilvl="7" w:tplc="074678E4">
      <w:numFmt w:val="bullet"/>
      <w:lvlText w:val="•"/>
      <w:lvlJc w:val="left"/>
      <w:pPr>
        <w:ind w:left="7442" w:hanging="360"/>
      </w:pPr>
      <w:rPr>
        <w:rFonts w:hint="default"/>
        <w:lang w:val="en-IE" w:eastAsia="en-IE" w:bidi="en-IE"/>
      </w:rPr>
    </w:lvl>
    <w:lvl w:ilvl="8" w:tplc="3A1E072A">
      <w:numFmt w:val="bullet"/>
      <w:lvlText w:val="•"/>
      <w:lvlJc w:val="left"/>
      <w:pPr>
        <w:ind w:left="8388" w:hanging="360"/>
      </w:pPr>
      <w:rPr>
        <w:rFonts w:hint="default"/>
        <w:lang w:val="en-IE" w:eastAsia="en-IE" w:bidi="en-IE"/>
      </w:rPr>
    </w:lvl>
  </w:abstractNum>
  <w:abstractNum w:abstractNumId="1" w15:restartNumberingAfterBreak="0">
    <w:nsid w:val="48CD2500"/>
    <w:multiLevelType w:val="hybridMultilevel"/>
    <w:tmpl w:val="3AD8C080"/>
    <w:lvl w:ilvl="0" w:tplc="60503E98">
      <w:numFmt w:val="bullet"/>
      <w:lvlText w:val=""/>
      <w:lvlJc w:val="left"/>
      <w:pPr>
        <w:ind w:left="460" w:hanging="361"/>
      </w:pPr>
      <w:rPr>
        <w:rFonts w:ascii="Symbol" w:eastAsia="Symbol" w:hAnsi="Symbol" w:cs="Symbol" w:hint="default"/>
        <w:color w:val="0D0D0D"/>
        <w:w w:val="100"/>
        <w:sz w:val="22"/>
        <w:szCs w:val="22"/>
        <w:lang w:val="en-IE" w:eastAsia="en-IE" w:bidi="en-IE"/>
      </w:rPr>
    </w:lvl>
    <w:lvl w:ilvl="1" w:tplc="C4CE9254">
      <w:numFmt w:val="bullet"/>
      <w:lvlText w:val=""/>
      <w:lvlJc w:val="left"/>
      <w:pPr>
        <w:ind w:left="460" w:hanging="361"/>
      </w:pPr>
      <w:rPr>
        <w:rFonts w:ascii="Symbol" w:eastAsia="Symbol" w:hAnsi="Symbol" w:cs="Symbol" w:hint="default"/>
        <w:color w:val="0D0D0D"/>
        <w:w w:val="100"/>
        <w:sz w:val="22"/>
        <w:szCs w:val="22"/>
        <w:lang w:val="en-IE" w:eastAsia="en-IE" w:bidi="en-IE"/>
      </w:rPr>
    </w:lvl>
    <w:lvl w:ilvl="2" w:tplc="437C4B7C">
      <w:numFmt w:val="bullet"/>
      <w:lvlText w:val="•"/>
      <w:lvlJc w:val="left"/>
      <w:pPr>
        <w:ind w:left="2424" w:hanging="361"/>
      </w:pPr>
      <w:rPr>
        <w:rFonts w:hint="default"/>
        <w:lang w:val="en-IE" w:eastAsia="en-IE" w:bidi="en-IE"/>
      </w:rPr>
    </w:lvl>
    <w:lvl w:ilvl="3" w:tplc="2BC46D1A">
      <w:numFmt w:val="bullet"/>
      <w:lvlText w:val="•"/>
      <w:lvlJc w:val="left"/>
      <w:pPr>
        <w:ind w:left="3406" w:hanging="361"/>
      </w:pPr>
      <w:rPr>
        <w:rFonts w:hint="default"/>
        <w:lang w:val="en-IE" w:eastAsia="en-IE" w:bidi="en-IE"/>
      </w:rPr>
    </w:lvl>
    <w:lvl w:ilvl="4" w:tplc="E4AAF0BE">
      <w:numFmt w:val="bullet"/>
      <w:lvlText w:val="•"/>
      <w:lvlJc w:val="left"/>
      <w:pPr>
        <w:ind w:left="4388" w:hanging="361"/>
      </w:pPr>
      <w:rPr>
        <w:rFonts w:hint="default"/>
        <w:lang w:val="en-IE" w:eastAsia="en-IE" w:bidi="en-IE"/>
      </w:rPr>
    </w:lvl>
    <w:lvl w:ilvl="5" w:tplc="6602DE1C">
      <w:numFmt w:val="bullet"/>
      <w:lvlText w:val="•"/>
      <w:lvlJc w:val="left"/>
      <w:pPr>
        <w:ind w:left="5370" w:hanging="361"/>
      </w:pPr>
      <w:rPr>
        <w:rFonts w:hint="default"/>
        <w:lang w:val="en-IE" w:eastAsia="en-IE" w:bidi="en-IE"/>
      </w:rPr>
    </w:lvl>
    <w:lvl w:ilvl="6" w:tplc="6002C112">
      <w:numFmt w:val="bullet"/>
      <w:lvlText w:val="•"/>
      <w:lvlJc w:val="left"/>
      <w:pPr>
        <w:ind w:left="6352" w:hanging="361"/>
      </w:pPr>
      <w:rPr>
        <w:rFonts w:hint="default"/>
        <w:lang w:val="en-IE" w:eastAsia="en-IE" w:bidi="en-IE"/>
      </w:rPr>
    </w:lvl>
    <w:lvl w:ilvl="7" w:tplc="3F96EA1C">
      <w:numFmt w:val="bullet"/>
      <w:lvlText w:val="•"/>
      <w:lvlJc w:val="left"/>
      <w:pPr>
        <w:ind w:left="7334" w:hanging="361"/>
      </w:pPr>
      <w:rPr>
        <w:rFonts w:hint="default"/>
        <w:lang w:val="en-IE" w:eastAsia="en-IE" w:bidi="en-IE"/>
      </w:rPr>
    </w:lvl>
    <w:lvl w:ilvl="8" w:tplc="BD74A676">
      <w:numFmt w:val="bullet"/>
      <w:lvlText w:val="•"/>
      <w:lvlJc w:val="left"/>
      <w:pPr>
        <w:ind w:left="8316" w:hanging="361"/>
      </w:pPr>
      <w:rPr>
        <w:rFonts w:hint="default"/>
        <w:lang w:val="en-IE" w:eastAsia="en-IE" w:bidi="en-IE"/>
      </w:rPr>
    </w:lvl>
  </w:abstractNum>
  <w:abstractNum w:abstractNumId="2" w15:restartNumberingAfterBreak="0">
    <w:nsid w:val="5F0F0E49"/>
    <w:multiLevelType w:val="hybridMultilevel"/>
    <w:tmpl w:val="8D70A9C8"/>
    <w:lvl w:ilvl="0" w:tplc="DD407352">
      <w:start w:val="1"/>
      <w:numFmt w:val="decimal"/>
      <w:lvlText w:val="%1."/>
      <w:lvlJc w:val="left"/>
      <w:pPr>
        <w:ind w:left="820" w:hanging="361"/>
        <w:jc w:val="left"/>
      </w:pPr>
      <w:rPr>
        <w:rFonts w:ascii="Calibri" w:eastAsia="Calibri" w:hAnsi="Calibri" w:cs="Calibri" w:hint="default"/>
        <w:color w:val="0D0D0D"/>
        <w:w w:val="100"/>
        <w:sz w:val="22"/>
        <w:szCs w:val="22"/>
        <w:lang w:val="en-IE" w:eastAsia="en-IE" w:bidi="en-IE"/>
      </w:rPr>
    </w:lvl>
    <w:lvl w:ilvl="1" w:tplc="906CE47E">
      <w:numFmt w:val="bullet"/>
      <w:lvlText w:val="•"/>
      <w:lvlJc w:val="left"/>
      <w:pPr>
        <w:ind w:left="1766" w:hanging="361"/>
      </w:pPr>
      <w:rPr>
        <w:rFonts w:hint="default"/>
        <w:lang w:val="en-IE" w:eastAsia="en-IE" w:bidi="en-IE"/>
      </w:rPr>
    </w:lvl>
    <w:lvl w:ilvl="2" w:tplc="375E8EBC">
      <w:numFmt w:val="bullet"/>
      <w:lvlText w:val="•"/>
      <w:lvlJc w:val="left"/>
      <w:pPr>
        <w:ind w:left="2712" w:hanging="361"/>
      </w:pPr>
      <w:rPr>
        <w:rFonts w:hint="default"/>
        <w:lang w:val="en-IE" w:eastAsia="en-IE" w:bidi="en-IE"/>
      </w:rPr>
    </w:lvl>
    <w:lvl w:ilvl="3" w:tplc="4238D544">
      <w:numFmt w:val="bullet"/>
      <w:lvlText w:val="•"/>
      <w:lvlJc w:val="left"/>
      <w:pPr>
        <w:ind w:left="3658" w:hanging="361"/>
      </w:pPr>
      <w:rPr>
        <w:rFonts w:hint="default"/>
        <w:lang w:val="en-IE" w:eastAsia="en-IE" w:bidi="en-IE"/>
      </w:rPr>
    </w:lvl>
    <w:lvl w:ilvl="4" w:tplc="428A1934">
      <w:numFmt w:val="bullet"/>
      <w:lvlText w:val="•"/>
      <w:lvlJc w:val="left"/>
      <w:pPr>
        <w:ind w:left="4604" w:hanging="361"/>
      </w:pPr>
      <w:rPr>
        <w:rFonts w:hint="default"/>
        <w:lang w:val="en-IE" w:eastAsia="en-IE" w:bidi="en-IE"/>
      </w:rPr>
    </w:lvl>
    <w:lvl w:ilvl="5" w:tplc="649C4D18">
      <w:numFmt w:val="bullet"/>
      <w:lvlText w:val="•"/>
      <w:lvlJc w:val="left"/>
      <w:pPr>
        <w:ind w:left="5550" w:hanging="361"/>
      </w:pPr>
      <w:rPr>
        <w:rFonts w:hint="default"/>
        <w:lang w:val="en-IE" w:eastAsia="en-IE" w:bidi="en-IE"/>
      </w:rPr>
    </w:lvl>
    <w:lvl w:ilvl="6" w:tplc="F4B4693E">
      <w:numFmt w:val="bullet"/>
      <w:lvlText w:val="•"/>
      <w:lvlJc w:val="left"/>
      <w:pPr>
        <w:ind w:left="6496" w:hanging="361"/>
      </w:pPr>
      <w:rPr>
        <w:rFonts w:hint="default"/>
        <w:lang w:val="en-IE" w:eastAsia="en-IE" w:bidi="en-IE"/>
      </w:rPr>
    </w:lvl>
    <w:lvl w:ilvl="7" w:tplc="F454F422">
      <w:numFmt w:val="bullet"/>
      <w:lvlText w:val="•"/>
      <w:lvlJc w:val="left"/>
      <w:pPr>
        <w:ind w:left="7442" w:hanging="361"/>
      </w:pPr>
      <w:rPr>
        <w:rFonts w:hint="default"/>
        <w:lang w:val="en-IE" w:eastAsia="en-IE" w:bidi="en-IE"/>
      </w:rPr>
    </w:lvl>
    <w:lvl w:ilvl="8" w:tplc="509E3D7C">
      <w:numFmt w:val="bullet"/>
      <w:lvlText w:val="•"/>
      <w:lvlJc w:val="left"/>
      <w:pPr>
        <w:ind w:left="8388" w:hanging="361"/>
      </w:pPr>
      <w:rPr>
        <w:rFonts w:hint="default"/>
        <w:lang w:val="en-IE" w:eastAsia="en-IE" w:bidi="en-IE"/>
      </w:rPr>
    </w:lvl>
  </w:abstractNum>
  <w:num w:numId="1" w16cid:durableId="99222531">
    <w:abstractNumId w:val="0"/>
  </w:num>
  <w:num w:numId="2" w16cid:durableId="2014067234">
    <w:abstractNumId w:val="1"/>
  </w:num>
  <w:num w:numId="3" w16cid:durableId="1087579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57FCF"/>
    <w:rsid w:val="00657FCF"/>
    <w:rsid w:val="006D34E0"/>
    <w:rsid w:val="00862B04"/>
    <w:rsid w:val="00A429BB"/>
    <w:rsid w:val="00D742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4705"/>
  <w15:docId w15:val="{30D62E17-4A89-48B2-8C6E-A9534345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IE" w:eastAsia="en-IE" w:bidi="en-IE"/>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style>
  <w:style w:type="paragraph" w:styleId="ListParagraph">
    <w:name w:val="List Paragraph"/>
    <w:basedOn w:val="Normal"/>
    <w:uiPriority w:val="1"/>
    <w:qFormat/>
    <w:pPr>
      <w:ind w:left="820" w:right="2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62B04"/>
    <w:rPr>
      <w:color w:val="0000FF" w:themeColor="hyperlink"/>
      <w:u w:val="single"/>
    </w:rPr>
  </w:style>
  <w:style w:type="character" w:styleId="UnresolvedMention">
    <w:name w:val="Unresolved Mention"/>
    <w:basedOn w:val="DefaultParagraphFont"/>
    <w:uiPriority w:val="99"/>
    <w:semiHidden/>
    <w:unhideWhenUsed/>
    <w:rsid w:val="00862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learning.tcd.ie/assets/PDF/How-to-study-in-Trinity.pdf" TargetMode="External"/><Relationship Id="rId5" Type="http://schemas.openxmlformats.org/officeDocument/2006/relationships/footnotes" Target="footnotes.xml"/><Relationship Id="rId10" Type="http://schemas.openxmlformats.org/officeDocument/2006/relationships/hyperlink" Target="https://doi.org/10.4324/9780203945964" TargetMode="External"/><Relationship Id="rId4" Type="http://schemas.openxmlformats.org/officeDocument/2006/relationships/webSettings" Target="webSettings.xml"/><Relationship Id="rId9" Type="http://schemas.openxmlformats.org/officeDocument/2006/relationships/hyperlink" Target="https://www.tcd.ie/academicpractice/resources/Gateway_to_Assess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942</Words>
  <Characters>5967</Characters>
  <Application>Microsoft Office Word</Application>
  <DocSecurity>0</DocSecurity>
  <Lines>94</Lines>
  <Paragraphs>47</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Jade Concannon</cp:lastModifiedBy>
  <cp:revision>3</cp:revision>
  <dcterms:created xsi:type="dcterms:W3CDTF">2024-02-01T11:17:00Z</dcterms:created>
  <dcterms:modified xsi:type="dcterms:W3CDTF">2024-02-01T11:22:00Z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Acrobat PDFMaker 20 for Word</vt:lpwstr>
  </property>
  <property fmtid="{D5CDD505-2E9C-101B-9397-08002B2CF9AE}" pid="4" name="LastSaved">
    <vt:filetime>2024-02-01T00:00:00Z</vt:filetime>
  </property>
</Properties>
</file>