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077C7" w:rsidRPr="00A519F4" w:rsidRDefault="00D077C7" w:rsidP="00D077C7">
      <w:pPr>
        <w:jc w:val="center"/>
        <w:rPr>
          <w:b/>
          <w:color w:val="000000" w:themeColor="text1"/>
        </w:rPr>
      </w:pPr>
    </w:p>
    <w:p w14:paraId="53A7C691" w14:textId="77777777" w:rsidR="00D077C7" w:rsidRPr="00A519F4" w:rsidRDefault="007B6F40" w:rsidP="00D077C7">
      <w:pPr>
        <w:rPr>
          <w:color w:val="000000" w:themeColor="text1"/>
        </w:rPr>
      </w:pPr>
      <w:r>
        <w:rPr>
          <w:b/>
          <w:color w:val="000000" w:themeColor="text1"/>
        </w:rPr>
        <w:t xml:space="preserve">Post Specification </w:t>
      </w:r>
      <w:r w:rsidR="00AD47E4"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74"/>
        <w:gridCol w:w="5848"/>
      </w:tblGrid>
      <w:tr w:rsidR="00A519F4" w:rsidRPr="00A519F4" w14:paraId="037B9523" w14:textId="77777777" w:rsidTr="4B88A9AB">
        <w:trPr>
          <w:trHeight w:val="432"/>
          <w:jc w:val="center"/>
        </w:trPr>
        <w:tc>
          <w:tcPr>
            <w:tcW w:w="2674" w:type="dxa"/>
            <w:shd w:val="clear" w:color="auto" w:fill="E6E6E6"/>
            <w:vAlign w:val="center"/>
          </w:tcPr>
          <w:p w14:paraId="495FD781" w14:textId="77777777" w:rsidR="00D077C7" w:rsidRPr="00A519F4" w:rsidRDefault="00D077C7" w:rsidP="00D077C7">
            <w:pPr>
              <w:rPr>
                <w:b/>
                <w:color w:val="000000" w:themeColor="text1"/>
              </w:rPr>
            </w:pPr>
            <w:r w:rsidRPr="00A519F4">
              <w:rPr>
                <w:b/>
                <w:color w:val="000000" w:themeColor="text1"/>
              </w:rPr>
              <w:t>Post Title:</w:t>
            </w:r>
          </w:p>
        </w:tc>
        <w:tc>
          <w:tcPr>
            <w:tcW w:w="5848" w:type="dxa"/>
            <w:shd w:val="clear" w:color="auto" w:fill="E6E6E6"/>
            <w:vAlign w:val="center"/>
          </w:tcPr>
          <w:p w14:paraId="0269F245" w14:textId="77777777" w:rsidR="00D077C7" w:rsidRPr="00CE3495" w:rsidRDefault="007B6F40" w:rsidP="00CE3495">
            <w:pPr>
              <w:rPr>
                <w:b/>
                <w:bCs/>
                <w:color w:val="000000" w:themeColor="text1"/>
              </w:rPr>
            </w:pPr>
            <w:r w:rsidRPr="00CE3495">
              <w:rPr>
                <w:b/>
                <w:color w:val="auto"/>
              </w:rPr>
              <w:t>Research Fellow</w:t>
            </w:r>
            <w:r w:rsidRPr="00CE3495">
              <w:rPr>
                <w:b/>
                <w:bCs/>
                <w:color w:val="auto"/>
              </w:rPr>
              <w:t xml:space="preserve"> </w:t>
            </w:r>
          </w:p>
        </w:tc>
      </w:tr>
      <w:tr w:rsidR="00A519F4" w:rsidRPr="00A519F4" w14:paraId="40B2A8DD" w14:textId="77777777" w:rsidTr="4B88A9AB">
        <w:trPr>
          <w:trHeight w:val="432"/>
          <w:jc w:val="center"/>
        </w:trPr>
        <w:tc>
          <w:tcPr>
            <w:tcW w:w="2674" w:type="dxa"/>
            <w:shd w:val="clear" w:color="auto" w:fill="E6E6E6"/>
            <w:vAlign w:val="center"/>
          </w:tcPr>
          <w:p w14:paraId="5D25B9BF" w14:textId="77777777" w:rsidR="00D077C7" w:rsidRPr="00A519F4" w:rsidRDefault="00D077C7" w:rsidP="00D077C7">
            <w:pPr>
              <w:rPr>
                <w:b/>
                <w:color w:val="000000" w:themeColor="text1"/>
              </w:rPr>
            </w:pPr>
            <w:r w:rsidRPr="00A519F4">
              <w:rPr>
                <w:b/>
                <w:color w:val="000000" w:themeColor="text1"/>
              </w:rPr>
              <w:t>Post Status:</w:t>
            </w:r>
          </w:p>
        </w:tc>
        <w:tc>
          <w:tcPr>
            <w:tcW w:w="5848" w:type="dxa"/>
            <w:shd w:val="clear" w:color="auto" w:fill="E6E6E6"/>
            <w:vAlign w:val="center"/>
          </w:tcPr>
          <w:p w14:paraId="4A647DF0" w14:textId="0B809134" w:rsidR="00D077C7" w:rsidRPr="00466B76" w:rsidRDefault="007B6F40" w:rsidP="72D974D1">
            <w:pPr>
              <w:rPr>
                <w:color w:val="000000" w:themeColor="text1"/>
              </w:rPr>
            </w:pPr>
            <w:r w:rsidRPr="4B88A9AB">
              <w:rPr>
                <w:color w:val="000000" w:themeColor="text1"/>
              </w:rPr>
              <w:t xml:space="preserve">Specific Purpose Contract </w:t>
            </w:r>
            <w:r w:rsidR="00CE3495" w:rsidRPr="4B88A9AB">
              <w:rPr>
                <w:color w:val="000000" w:themeColor="text1"/>
              </w:rPr>
              <w:t>Part-time, (0.6 WTE)</w:t>
            </w:r>
            <w:r w:rsidR="00E55EE2" w:rsidRPr="4B88A9AB">
              <w:rPr>
                <w:color w:val="000000" w:themeColor="text1"/>
              </w:rPr>
              <w:t xml:space="preserve"> </w:t>
            </w:r>
          </w:p>
        </w:tc>
      </w:tr>
      <w:tr w:rsidR="00A519F4" w:rsidRPr="00A519F4" w14:paraId="291FD4F0" w14:textId="77777777" w:rsidTr="4B88A9AB">
        <w:trPr>
          <w:trHeight w:val="412"/>
          <w:jc w:val="center"/>
        </w:trPr>
        <w:tc>
          <w:tcPr>
            <w:tcW w:w="2674" w:type="dxa"/>
            <w:shd w:val="clear" w:color="auto" w:fill="E6E6E6"/>
            <w:vAlign w:val="center"/>
          </w:tcPr>
          <w:p w14:paraId="47D30C49" w14:textId="77777777" w:rsidR="00D077C7" w:rsidRPr="00A519F4" w:rsidRDefault="00BB5500" w:rsidP="00D077C7">
            <w:pPr>
              <w:rPr>
                <w:b/>
                <w:color w:val="000000" w:themeColor="text1"/>
              </w:rPr>
            </w:pPr>
            <w:r>
              <w:rPr>
                <w:b/>
                <w:color w:val="000000" w:themeColor="text1"/>
              </w:rPr>
              <w:t>Research Group / Department / School</w:t>
            </w:r>
            <w:r w:rsidR="005C3E61">
              <w:rPr>
                <w:b/>
                <w:color w:val="000000" w:themeColor="text1"/>
              </w:rPr>
              <w:t>:</w:t>
            </w:r>
          </w:p>
        </w:tc>
        <w:tc>
          <w:tcPr>
            <w:tcW w:w="5848" w:type="dxa"/>
            <w:shd w:val="clear" w:color="auto" w:fill="E6E6E6"/>
            <w:vAlign w:val="center"/>
          </w:tcPr>
          <w:p w14:paraId="098197BA" w14:textId="77777777" w:rsidR="00D077C7" w:rsidRPr="00466B76" w:rsidRDefault="00CE3495" w:rsidP="00D077C7">
            <w:pPr>
              <w:rPr>
                <w:bCs/>
                <w:color w:val="000000" w:themeColor="text1"/>
              </w:rPr>
            </w:pPr>
            <w:r w:rsidRPr="00CE3495">
              <w:rPr>
                <w:b/>
                <w:color w:val="000000" w:themeColor="text1"/>
              </w:rPr>
              <w:t>Centre for Health Policy and Management</w:t>
            </w:r>
            <w:r>
              <w:rPr>
                <w:color w:val="000000" w:themeColor="text1"/>
              </w:rPr>
              <w:t>,</w:t>
            </w:r>
            <w:r w:rsidR="00466B76">
              <w:rPr>
                <w:color w:val="000000" w:themeColor="text1"/>
              </w:rPr>
              <w:t xml:space="preserve"> </w:t>
            </w:r>
            <w:r w:rsidR="00D077C7" w:rsidRPr="00466B76">
              <w:rPr>
                <w:color w:val="000000" w:themeColor="text1"/>
              </w:rPr>
              <w:t>Trinity College Dublin, the University of Dublin</w:t>
            </w:r>
          </w:p>
        </w:tc>
      </w:tr>
      <w:tr w:rsidR="00A519F4" w:rsidRPr="00A519F4" w14:paraId="26236F00" w14:textId="77777777" w:rsidTr="4B88A9AB">
        <w:trPr>
          <w:trHeight w:val="432"/>
          <w:jc w:val="center"/>
        </w:trPr>
        <w:tc>
          <w:tcPr>
            <w:tcW w:w="2674" w:type="dxa"/>
            <w:shd w:val="clear" w:color="auto" w:fill="E6E6E6"/>
            <w:vAlign w:val="center"/>
          </w:tcPr>
          <w:p w14:paraId="5C4879D2" w14:textId="77777777" w:rsidR="00D077C7" w:rsidRPr="00A519F4" w:rsidRDefault="00D077C7" w:rsidP="00D077C7">
            <w:pPr>
              <w:rPr>
                <w:b/>
                <w:color w:val="000000" w:themeColor="text1"/>
              </w:rPr>
            </w:pPr>
            <w:r w:rsidRPr="00A519F4">
              <w:rPr>
                <w:b/>
                <w:color w:val="000000" w:themeColor="text1"/>
              </w:rPr>
              <w:t>Location:</w:t>
            </w:r>
          </w:p>
        </w:tc>
        <w:tc>
          <w:tcPr>
            <w:tcW w:w="5848" w:type="dxa"/>
            <w:shd w:val="clear" w:color="auto" w:fill="E6E6E6"/>
            <w:vAlign w:val="center"/>
          </w:tcPr>
          <w:p w14:paraId="786FD307" w14:textId="77777777" w:rsidR="00245DF0" w:rsidRDefault="00245DF0" w:rsidP="00245DF0">
            <w:pPr>
              <w:rPr>
                <w:color w:val="000000" w:themeColor="text1"/>
              </w:rPr>
            </w:pPr>
            <w:r>
              <w:rPr>
                <w:color w:val="000000" w:themeColor="text1"/>
              </w:rPr>
              <w:t>3-4 Foster Place.</w:t>
            </w:r>
          </w:p>
          <w:p w14:paraId="7AE88C0E" w14:textId="77777777" w:rsidR="00D077C7" w:rsidRPr="00466B76" w:rsidRDefault="00245DF0" w:rsidP="00245DF0">
            <w:pPr>
              <w:rPr>
                <w:bCs/>
                <w:color w:val="000000" w:themeColor="text1"/>
              </w:rPr>
            </w:pPr>
            <w:r>
              <w:rPr>
                <w:color w:val="000000" w:themeColor="text1"/>
              </w:rPr>
              <w:t>Centre for Health Policy and Management,</w:t>
            </w:r>
            <w:r w:rsidR="00BD4DF3">
              <w:rPr>
                <w:color w:val="000000" w:themeColor="text1"/>
              </w:rPr>
              <w:br/>
            </w:r>
            <w:r w:rsidR="00D077C7" w:rsidRPr="00466B76">
              <w:rPr>
                <w:color w:val="000000" w:themeColor="text1"/>
              </w:rPr>
              <w:t>Trinity College Dublin, the University of Dublin</w:t>
            </w:r>
          </w:p>
          <w:p w14:paraId="542DC86A" w14:textId="77777777" w:rsidR="00D077C7" w:rsidRPr="00466B76" w:rsidRDefault="00D077C7" w:rsidP="00D077C7">
            <w:pPr>
              <w:rPr>
                <w:bCs/>
                <w:color w:val="000000" w:themeColor="text1"/>
              </w:rPr>
            </w:pPr>
            <w:r w:rsidRPr="00466B76">
              <w:rPr>
                <w:color w:val="000000" w:themeColor="text1"/>
              </w:rPr>
              <w:t>College Green, Dublin 2, Ireland</w:t>
            </w:r>
          </w:p>
        </w:tc>
      </w:tr>
      <w:tr w:rsidR="00A519F4" w:rsidRPr="00A519F4" w14:paraId="28C4033C" w14:textId="77777777" w:rsidTr="4B88A9AB">
        <w:trPr>
          <w:trHeight w:val="432"/>
          <w:jc w:val="center"/>
        </w:trPr>
        <w:tc>
          <w:tcPr>
            <w:tcW w:w="2674" w:type="dxa"/>
            <w:shd w:val="clear" w:color="auto" w:fill="E6E6E6"/>
            <w:vAlign w:val="center"/>
          </w:tcPr>
          <w:p w14:paraId="08CD531E" w14:textId="77777777" w:rsidR="00D077C7" w:rsidRPr="00A519F4" w:rsidRDefault="00D077C7" w:rsidP="00D077C7">
            <w:pPr>
              <w:rPr>
                <w:b/>
                <w:color w:val="000000" w:themeColor="text1"/>
              </w:rPr>
            </w:pPr>
            <w:r w:rsidRPr="00A519F4">
              <w:rPr>
                <w:b/>
                <w:color w:val="000000" w:themeColor="text1"/>
              </w:rPr>
              <w:t>Reports to:</w:t>
            </w:r>
          </w:p>
        </w:tc>
        <w:tc>
          <w:tcPr>
            <w:tcW w:w="5848" w:type="dxa"/>
            <w:shd w:val="clear" w:color="auto" w:fill="E6E6E6"/>
            <w:vAlign w:val="center"/>
          </w:tcPr>
          <w:p w14:paraId="0B8787DF" w14:textId="4CE685D7" w:rsidR="00E55EE2" w:rsidRDefault="00E55EE2" w:rsidP="00CE3495">
            <w:pPr>
              <w:pStyle w:val="Title"/>
              <w:spacing w:line="360" w:lineRule="auto"/>
              <w:contextualSpacing/>
              <w:jc w:val="left"/>
              <w:rPr>
                <w:rFonts w:asciiTheme="minorHAnsi" w:hAnsiTheme="minorHAnsi" w:cstheme="minorHAnsi"/>
                <w:bCs w:val="0"/>
                <w:sz w:val="24"/>
                <w:lang w:val="en-IE"/>
              </w:rPr>
            </w:pPr>
            <w:r>
              <w:rPr>
                <w:rFonts w:asciiTheme="minorHAnsi" w:hAnsiTheme="minorHAnsi" w:cstheme="minorHAnsi"/>
                <w:bCs w:val="0"/>
                <w:sz w:val="24"/>
                <w:lang w:val="en-IE"/>
              </w:rPr>
              <w:t xml:space="preserve">Prof Sarah Barry, </w:t>
            </w:r>
            <w:proofErr w:type="spellStart"/>
            <w:r>
              <w:rPr>
                <w:rFonts w:asciiTheme="minorHAnsi" w:hAnsiTheme="minorHAnsi" w:cstheme="minorHAnsi"/>
                <w:bCs w:val="0"/>
                <w:sz w:val="24"/>
                <w:lang w:val="en-IE"/>
              </w:rPr>
              <w:t>SPHeRE</w:t>
            </w:r>
            <w:proofErr w:type="spellEnd"/>
            <w:r>
              <w:rPr>
                <w:rFonts w:asciiTheme="minorHAnsi" w:hAnsiTheme="minorHAnsi" w:cstheme="minorHAnsi"/>
                <w:bCs w:val="0"/>
                <w:sz w:val="24"/>
                <w:lang w:val="en-IE"/>
              </w:rPr>
              <w:t xml:space="preserve"> Co-Director and Director</w:t>
            </w:r>
          </w:p>
          <w:p w14:paraId="36380C15" w14:textId="04B76AC4" w:rsidR="00CE3495" w:rsidRPr="009B50AE" w:rsidRDefault="00CE3495" w:rsidP="00CE3495">
            <w:pPr>
              <w:pStyle w:val="Title"/>
              <w:spacing w:line="360" w:lineRule="auto"/>
              <w:contextualSpacing/>
              <w:jc w:val="left"/>
              <w:rPr>
                <w:rFonts w:asciiTheme="minorHAnsi" w:hAnsiTheme="minorHAnsi" w:cstheme="minorHAnsi"/>
                <w:bCs w:val="0"/>
                <w:sz w:val="24"/>
                <w:lang w:val="en-IE"/>
              </w:rPr>
            </w:pPr>
            <w:r w:rsidRPr="009B50AE">
              <w:rPr>
                <w:rFonts w:asciiTheme="minorHAnsi" w:hAnsiTheme="minorHAnsi" w:cstheme="minorHAnsi"/>
                <w:bCs w:val="0"/>
                <w:sz w:val="24"/>
                <w:lang w:val="en-IE"/>
              </w:rPr>
              <w:t>Centre for Health Policy and Management, 3-4 Foster Place</w:t>
            </w:r>
          </w:p>
          <w:p w14:paraId="50F29F74" w14:textId="77777777" w:rsidR="00CE3495" w:rsidRPr="009B50AE" w:rsidRDefault="00CE3495" w:rsidP="00CE3495">
            <w:pPr>
              <w:pStyle w:val="Title"/>
              <w:spacing w:line="360" w:lineRule="auto"/>
              <w:contextualSpacing/>
              <w:jc w:val="left"/>
              <w:rPr>
                <w:rFonts w:asciiTheme="minorHAnsi" w:hAnsiTheme="minorHAnsi" w:cstheme="minorHAnsi"/>
                <w:b w:val="0"/>
                <w:bCs w:val="0"/>
                <w:sz w:val="24"/>
              </w:rPr>
            </w:pPr>
            <w:r w:rsidRPr="009B50AE">
              <w:rPr>
                <w:rFonts w:asciiTheme="minorHAnsi" w:hAnsiTheme="minorHAnsi" w:cstheme="minorHAnsi"/>
                <w:b w:val="0"/>
                <w:bCs w:val="0"/>
                <w:sz w:val="24"/>
              </w:rPr>
              <w:t>Trinity College Dublin, the University of Dublin</w:t>
            </w:r>
          </w:p>
          <w:p w14:paraId="6B892E90" w14:textId="77777777" w:rsidR="00D077C7" w:rsidRPr="00466B76" w:rsidRDefault="00CE3495" w:rsidP="00CE3495">
            <w:pPr>
              <w:rPr>
                <w:bCs/>
                <w:color w:val="000000" w:themeColor="text1"/>
              </w:rPr>
            </w:pPr>
            <w:r w:rsidRPr="009B50AE">
              <w:rPr>
                <w:rFonts w:cstheme="minorHAnsi"/>
              </w:rPr>
              <w:t>College Green, Dublin 2, Ireland</w:t>
            </w:r>
          </w:p>
        </w:tc>
      </w:tr>
      <w:tr w:rsidR="00A519F4" w:rsidRPr="00A519F4" w14:paraId="21BC23DA" w14:textId="77777777" w:rsidTr="4B88A9AB">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669AF33A" w14:textId="77777777" w:rsidR="00D077C7" w:rsidRPr="00A519F4" w:rsidRDefault="00D077C7" w:rsidP="00D077C7">
            <w:pPr>
              <w:rPr>
                <w:b/>
                <w:color w:val="000000" w:themeColor="text1"/>
              </w:rPr>
            </w:pPr>
            <w:r w:rsidRPr="00A519F4">
              <w:rPr>
                <w:b/>
                <w:color w:val="000000" w:themeColor="text1"/>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85F5165" w14:textId="4BDFCCD1" w:rsidR="00D077C7" w:rsidRPr="00466B76" w:rsidRDefault="00CE3495" w:rsidP="4B88A9AB">
            <w:pPr>
              <w:rPr>
                <w:color w:val="000000" w:themeColor="text1"/>
              </w:rPr>
            </w:pPr>
            <w:r w:rsidRPr="4B88A9AB">
              <w:t xml:space="preserve">Appointment will be made </w:t>
            </w:r>
            <w:r w:rsidR="00E55EE2" w:rsidRPr="4B88A9AB">
              <w:t xml:space="preserve">on the Post-Doctoral Researcher </w:t>
            </w:r>
            <w:r w:rsidRPr="4B88A9AB">
              <w:t>Level of the IUA Salary Scale at a point in line with Government Pay Policy</w:t>
            </w:r>
            <w:r w:rsidR="00E55EE2" w:rsidRPr="4B88A9AB">
              <w:t>,</w:t>
            </w:r>
            <w:r w:rsidRPr="4B88A9AB">
              <w:t xml:space="preserve"> appointment will be made no higher than PD2 Point </w:t>
            </w:r>
            <w:r w:rsidR="00E55EE2" w:rsidRPr="4B88A9AB">
              <w:t>3</w:t>
            </w:r>
            <w:r w:rsidRPr="4B88A9AB">
              <w:t>.</w:t>
            </w:r>
          </w:p>
        </w:tc>
      </w:tr>
      <w:tr w:rsidR="00A519F4" w:rsidRPr="00A519F4" w14:paraId="4308F74B" w14:textId="77777777" w:rsidTr="4B88A9AB">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50BF05D5" w14:textId="77777777" w:rsidR="00D077C7" w:rsidRPr="00A519F4" w:rsidRDefault="00D077C7" w:rsidP="00D077C7">
            <w:pPr>
              <w:rPr>
                <w:b/>
                <w:color w:val="000000" w:themeColor="text1"/>
              </w:rPr>
            </w:pPr>
            <w:r w:rsidRPr="00A519F4">
              <w:rPr>
                <w:b/>
                <w:color w:val="000000" w:themeColor="text1"/>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342FBA45" w14:textId="77777777" w:rsidR="00D077C7" w:rsidRPr="00466B76" w:rsidRDefault="00CE3495" w:rsidP="00D077C7">
            <w:pPr>
              <w:rPr>
                <w:bCs/>
                <w:color w:val="000000" w:themeColor="text1"/>
              </w:rPr>
            </w:pPr>
            <w:r>
              <w:rPr>
                <w:bCs/>
                <w:color w:val="000000" w:themeColor="text1"/>
              </w:rPr>
              <w:t>9am to 5pm</w:t>
            </w:r>
          </w:p>
        </w:tc>
      </w:tr>
      <w:tr w:rsidR="00A519F4" w:rsidRPr="00A519F4" w14:paraId="0B2BEA49" w14:textId="77777777" w:rsidTr="4B88A9AB">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3C6D3467" w14:textId="77777777" w:rsidR="00D077C7" w:rsidRPr="00A519F4" w:rsidRDefault="00D077C7" w:rsidP="00D077C7">
            <w:pPr>
              <w:rPr>
                <w:b/>
                <w:color w:val="000000" w:themeColor="text1"/>
              </w:rPr>
            </w:pPr>
            <w:r w:rsidRPr="00A519F4">
              <w:rPr>
                <w:b/>
                <w:color w:val="000000" w:themeColor="text1"/>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3DEF1742" w14:textId="530BFA99" w:rsidR="00D077C7" w:rsidRPr="00466B76" w:rsidRDefault="00D077C7" w:rsidP="72D974D1">
            <w:pPr>
              <w:rPr>
                <w:color w:val="000000" w:themeColor="text1"/>
              </w:rPr>
            </w:pPr>
            <w:r w:rsidRPr="72D974D1">
              <w:rPr>
                <w:color w:val="000000" w:themeColor="text1"/>
              </w:rPr>
              <w:t>12 Noon (</w:t>
            </w:r>
            <w:r w:rsidR="00751F03" w:rsidRPr="72D974D1">
              <w:rPr>
                <w:color w:val="000000" w:themeColor="text1"/>
              </w:rPr>
              <w:t>GMT</w:t>
            </w:r>
            <w:r w:rsidRPr="72D974D1">
              <w:rPr>
                <w:color w:val="000000" w:themeColor="text1"/>
              </w:rPr>
              <w:t xml:space="preserve">), </w:t>
            </w:r>
            <w:r w:rsidR="00E55EE2" w:rsidRPr="72D974D1">
              <w:rPr>
                <w:color w:val="000000" w:themeColor="text1"/>
              </w:rPr>
              <w:t>22 April 2022</w:t>
            </w:r>
          </w:p>
        </w:tc>
      </w:tr>
    </w:tbl>
    <w:p w14:paraId="0A37501D" w14:textId="77777777" w:rsidR="00D077C7" w:rsidRPr="00A519F4" w:rsidRDefault="00D077C7" w:rsidP="00D077C7">
      <w:pPr>
        <w:rPr>
          <w:color w:val="000000" w:themeColor="text1"/>
        </w:rPr>
      </w:pPr>
    </w:p>
    <w:p w14:paraId="5DAB6C7B" w14:textId="77777777" w:rsidR="00D077C7" w:rsidRPr="00A519F4" w:rsidRDefault="00D077C7">
      <w:pPr>
        <w:spacing w:after="200" w:line="276" w:lineRule="auto"/>
        <w:rPr>
          <w:color w:val="000000" w:themeColor="text1"/>
          <w:highlight w:val="yellow"/>
        </w:rPr>
      </w:pPr>
      <w:r w:rsidRPr="00A519F4">
        <w:rPr>
          <w:color w:val="000000" w:themeColor="text1"/>
          <w:highlight w:val="yellow"/>
        </w:rPr>
        <w:br w:type="page"/>
      </w:r>
    </w:p>
    <w:p w14:paraId="76EFCE78" w14:textId="77777777" w:rsidR="006037E5" w:rsidRPr="00A519F4" w:rsidRDefault="006037E5" w:rsidP="006037E5">
      <w:pPr>
        <w:rPr>
          <w:b/>
          <w:color w:val="000000" w:themeColor="text1"/>
        </w:rPr>
      </w:pPr>
      <w:r w:rsidRPr="00A519F4">
        <w:rPr>
          <w:b/>
          <w:color w:val="000000" w:themeColor="text1"/>
        </w:rPr>
        <w:t>Post Summary</w:t>
      </w:r>
    </w:p>
    <w:p w14:paraId="240605A5" w14:textId="77777777" w:rsidR="005F23E9" w:rsidRDefault="005F23E9" w:rsidP="005F23E9">
      <w:pPr>
        <w:pStyle w:val="Title"/>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This post doctorate role is </w:t>
      </w:r>
      <w:r>
        <w:rPr>
          <w:rFonts w:asciiTheme="majorHAnsi" w:hAnsiTheme="majorHAnsi" w:cs="Arial"/>
          <w:b w:val="0"/>
          <w:sz w:val="24"/>
          <w:lang w:val="en-IE"/>
        </w:rPr>
        <w:t xml:space="preserve">in the </w:t>
      </w:r>
      <w:r w:rsidRPr="005748B5">
        <w:rPr>
          <w:rFonts w:asciiTheme="majorHAnsi" w:hAnsiTheme="majorHAnsi" w:cs="Arial"/>
          <w:b w:val="0"/>
          <w:sz w:val="24"/>
          <w:lang w:val="en-IE"/>
        </w:rPr>
        <w:t xml:space="preserve">position </w:t>
      </w:r>
      <w:r>
        <w:rPr>
          <w:rFonts w:asciiTheme="majorHAnsi" w:hAnsiTheme="majorHAnsi" w:cs="Arial"/>
          <w:b w:val="0"/>
          <w:sz w:val="24"/>
          <w:lang w:val="en-IE"/>
        </w:rPr>
        <w:t xml:space="preserve">of </w:t>
      </w:r>
      <w:r w:rsidRPr="005748B5">
        <w:rPr>
          <w:rFonts w:asciiTheme="majorHAnsi" w:hAnsiTheme="majorHAnsi" w:cs="Arial"/>
          <w:b w:val="0"/>
          <w:sz w:val="24"/>
          <w:lang w:val="en-IE"/>
        </w:rPr>
        <w:t xml:space="preserve">Assistant Director of Teaching and Learning on the HRB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PhD Programme.</w:t>
      </w:r>
    </w:p>
    <w:p w14:paraId="02EB378F" w14:textId="77777777" w:rsidR="005F23E9" w:rsidRPr="005748B5" w:rsidRDefault="005F23E9" w:rsidP="005F23E9">
      <w:pPr>
        <w:pStyle w:val="Title"/>
        <w:spacing w:line="360" w:lineRule="auto"/>
        <w:contextualSpacing/>
        <w:jc w:val="left"/>
        <w:rPr>
          <w:rFonts w:asciiTheme="majorHAnsi" w:hAnsiTheme="majorHAnsi" w:cs="Arial"/>
          <w:b w:val="0"/>
          <w:sz w:val="24"/>
          <w:lang w:val="en-IE"/>
        </w:rPr>
      </w:pPr>
    </w:p>
    <w:p w14:paraId="408324F9" w14:textId="77777777" w:rsidR="005F23E9" w:rsidRPr="005748B5" w:rsidRDefault="005F23E9" w:rsidP="005F23E9">
      <w:pPr>
        <w:pStyle w:val="Title"/>
        <w:spacing w:line="360" w:lineRule="auto"/>
        <w:contextualSpacing/>
        <w:jc w:val="left"/>
        <w:rPr>
          <w:rFonts w:asciiTheme="majorHAnsi" w:hAnsiTheme="majorHAnsi" w:cstheme="majorHAnsi"/>
          <w:b w:val="0"/>
          <w:sz w:val="24"/>
          <w:shd w:val="clear" w:color="auto" w:fill="FFFFFF"/>
        </w:rPr>
      </w:pPr>
      <w:r w:rsidRPr="005748B5">
        <w:rPr>
          <w:rFonts w:asciiTheme="majorHAnsi" w:hAnsiTheme="majorHAnsi" w:cstheme="majorHAnsi"/>
          <w:b w:val="0"/>
          <w:sz w:val="24"/>
          <w:shd w:val="clear" w:color="auto" w:fill="FFFFFF"/>
        </w:rPr>
        <w:t xml:space="preserve">The </w:t>
      </w:r>
      <w:proofErr w:type="spellStart"/>
      <w:r w:rsidRPr="005748B5">
        <w:rPr>
          <w:rFonts w:asciiTheme="majorHAnsi" w:hAnsiTheme="majorHAnsi" w:cstheme="majorHAnsi"/>
          <w:b w:val="0"/>
          <w:sz w:val="24"/>
          <w:shd w:val="clear" w:color="auto" w:fill="FFFFFF"/>
        </w:rPr>
        <w:t>SPHeRE</w:t>
      </w:r>
      <w:proofErr w:type="spellEnd"/>
      <w:r w:rsidRPr="005748B5">
        <w:rPr>
          <w:rFonts w:asciiTheme="majorHAnsi" w:hAnsiTheme="majorHAnsi" w:cstheme="majorHAnsi"/>
          <w:b w:val="0"/>
          <w:sz w:val="24"/>
          <w:shd w:val="clear" w:color="auto" w:fill="FFFFFF"/>
        </w:rPr>
        <w:t xml:space="preserve"> (Structured Population and Health-services Research Education) Programme (formerly the</w:t>
      </w:r>
      <w:r w:rsidRPr="005748B5">
        <w:rPr>
          <w:rStyle w:val="apple-converted-space"/>
          <w:rFonts w:asciiTheme="majorHAnsi" w:hAnsiTheme="majorHAnsi" w:cstheme="majorHAnsi"/>
          <w:b w:val="0"/>
          <w:sz w:val="24"/>
          <w:shd w:val="clear" w:color="auto" w:fill="FFFFFF"/>
        </w:rPr>
        <w:t> </w:t>
      </w:r>
      <w:r w:rsidRPr="005748B5">
        <w:rPr>
          <w:rFonts w:asciiTheme="majorHAnsi" w:hAnsiTheme="majorHAnsi"/>
          <w:b w:val="0"/>
          <w:sz w:val="24"/>
        </w:rPr>
        <w:t>HRB Scholars Programme</w:t>
      </w:r>
      <w:r w:rsidRPr="005748B5">
        <w:rPr>
          <w:rFonts w:asciiTheme="majorHAnsi" w:hAnsiTheme="majorHAnsi" w:cstheme="majorHAnsi"/>
          <w:b w:val="0"/>
          <w:sz w:val="24"/>
          <w:shd w:val="clear" w:color="auto" w:fill="FFFFFF"/>
        </w:rPr>
        <w:t>) is an innovative and ambitious research programme in population health and health services research (PHHSR) funded by the Health Research Board (HRB) since 2013.</w:t>
      </w:r>
      <w:r>
        <w:rPr>
          <w:rFonts w:asciiTheme="majorHAnsi" w:hAnsiTheme="majorHAnsi" w:cstheme="majorHAnsi"/>
          <w:b w:val="0"/>
          <w:sz w:val="24"/>
          <w:shd w:val="clear" w:color="auto" w:fill="FFFFFF"/>
        </w:rPr>
        <w:t xml:space="preserve"> </w:t>
      </w:r>
      <w:r w:rsidRPr="005748B5">
        <w:rPr>
          <w:rFonts w:asciiTheme="majorHAnsi" w:hAnsiTheme="majorHAnsi" w:cstheme="majorHAnsi"/>
          <w:b w:val="0"/>
          <w:sz w:val="24"/>
          <w:shd w:val="clear" w:color="auto" w:fill="FFFFFF"/>
        </w:rPr>
        <w:t xml:space="preserve">The Programme is managed by 3 co-Directors based in TCD, RCSI and UCC. They are assisted by 3 Assistant Directors – The Assistant Director for Teaching and Learning based in TCD, the Assistant Director for Academic Affairs based in </w:t>
      </w:r>
      <w:proofErr w:type="gramStart"/>
      <w:r w:rsidRPr="005748B5">
        <w:rPr>
          <w:rFonts w:asciiTheme="majorHAnsi" w:hAnsiTheme="majorHAnsi" w:cstheme="majorHAnsi"/>
          <w:b w:val="0"/>
          <w:sz w:val="24"/>
          <w:shd w:val="clear" w:color="auto" w:fill="FFFFFF"/>
        </w:rPr>
        <w:t>RCSI</w:t>
      </w:r>
      <w:proofErr w:type="gramEnd"/>
      <w:r w:rsidRPr="005748B5">
        <w:rPr>
          <w:rFonts w:asciiTheme="majorHAnsi" w:hAnsiTheme="majorHAnsi" w:cstheme="majorHAnsi"/>
          <w:b w:val="0"/>
          <w:sz w:val="24"/>
          <w:shd w:val="clear" w:color="auto" w:fill="FFFFFF"/>
        </w:rPr>
        <w:t xml:space="preserve"> and the Assistant Director for Networks based in UCC.</w:t>
      </w:r>
    </w:p>
    <w:p w14:paraId="6A05A809" w14:textId="77777777" w:rsidR="005F23E9" w:rsidRDefault="005F23E9" w:rsidP="005F23E9">
      <w:pPr>
        <w:pStyle w:val="Title"/>
        <w:spacing w:line="360" w:lineRule="auto"/>
        <w:contextualSpacing/>
        <w:jc w:val="left"/>
        <w:rPr>
          <w:rFonts w:asciiTheme="majorHAnsi" w:hAnsiTheme="majorHAnsi" w:cstheme="majorHAnsi"/>
          <w:b w:val="0"/>
          <w:sz w:val="24"/>
          <w:shd w:val="clear" w:color="auto" w:fill="FFFFFF"/>
        </w:rPr>
      </w:pPr>
    </w:p>
    <w:p w14:paraId="2C0D6BF7" w14:textId="0D6F946D" w:rsidR="005F23E9" w:rsidRPr="005748B5" w:rsidRDefault="005F23E9" w:rsidP="053B0598">
      <w:pPr>
        <w:pStyle w:val="Title"/>
        <w:spacing w:line="360" w:lineRule="auto"/>
        <w:contextualSpacing/>
        <w:jc w:val="left"/>
        <w:rPr>
          <w:szCs w:val="32"/>
          <w:shd w:val="clear" w:color="auto" w:fill="FFFFFF"/>
        </w:rPr>
      </w:pPr>
      <w:r w:rsidRPr="00E55EE2">
        <w:rPr>
          <w:rFonts w:asciiTheme="majorHAnsi" w:hAnsiTheme="majorHAnsi" w:cstheme="majorBidi"/>
          <w:b w:val="0"/>
          <w:bCs w:val="0"/>
          <w:sz w:val="24"/>
          <w:shd w:val="clear" w:color="auto" w:fill="FFFFFF"/>
        </w:rPr>
        <w:t>The Assistant Director of Teaching and Learning works on the development of the taught component of the programme, particularly in its ‘year one’ phase. This includes continuous academic review, monitoring progress on eLearning and playing a vital role in the development of a peer-learning culture across the programme</w:t>
      </w:r>
      <w:r w:rsidR="6777E0F5" w:rsidRPr="00E55EE2">
        <w:rPr>
          <w:rFonts w:asciiTheme="majorHAnsi" w:hAnsiTheme="majorHAnsi" w:cstheme="majorBidi"/>
          <w:b w:val="0"/>
          <w:bCs w:val="0"/>
          <w:sz w:val="24"/>
          <w:shd w:val="clear" w:color="auto" w:fill="FFFFFF"/>
        </w:rPr>
        <w:t xml:space="preserve">. </w:t>
      </w:r>
      <w:r w:rsidRPr="00E55EE2">
        <w:rPr>
          <w:rFonts w:asciiTheme="majorHAnsi" w:hAnsiTheme="majorHAnsi" w:cstheme="majorBidi"/>
          <w:b w:val="0"/>
          <w:bCs w:val="0"/>
          <w:sz w:val="24"/>
          <w:shd w:val="clear" w:color="auto" w:fill="FFFFFF"/>
        </w:rPr>
        <w:t xml:space="preserve">The role also requires contributing to teaching and co-supervision. </w:t>
      </w:r>
      <w:r w:rsidR="46CA538E" w:rsidRPr="00E55EE2">
        <w:rPr>
          <w:rFonts w:asciiTheme="majorHAnsi" w:hAnsiTheme="majorHAnsi" w:cstheme="majorBidi"/>
          <w:b w:val="0"/>
          <w:bCs w:val="0"/>
          <w:sz w:val="24"/>
        </w:rPr>
        <w:t xml:space="preserve">During 2022 the </w:t>
      </w:r>
      <w:proofErr w:type="spellStart"/>
      <w:r w:rsidR="46CA538E" w:rsidRPr="00E55EE2">
        <w:rPr>
          <w:rFonts w:asciiTheme="majorHAnsi" w:hAnsiTheme="majorHAnsi" w:cstheme="majorBidi"/>
          <w:b w:val="0"/>
          <w:bCs w:val="0"/>
          <w:sz w:val="24"/>
        </w:rPr>
        <w:t>SPHeRE</w:t>
      </w:r>
      <w:proofErr w:type="spellEnd"/>
      <w:r w:rsidR="46CA538E" w:rsidRPr="00E55EE2">
        <w:rPr>
          <w:rFonts w:asciiTheme="majorHAnsi" w:hAnsiTheme="majorHAnsi" w:cstheme="majorBidi"/>
          <w:b w:val="0"/>
          <w:bCs w:val="0"/>
          <w:sz w:val="24"/>
        </w:rPr>
        <w:t xml:space="preserve"> taught programme will undergo a strategic curriculum review for which the Assistant Director of Teaching and Learning will play a leadership role.</w:t>
      </w:r>
    </w:p>
    <w:p w14:paraId="29D6B04F" w14:textId="77777777" w:rsidR="005F23E9" w:rsidRPr="005748B5" w:rsidRDefault="005F23E9" w:rsidP="005F23E9">
      <w:pPr>
        <w:pStyle w:val="Title"/>
        <w:spacing w:line="360" w:lineRule="auto"/>
        <w:contextualSpacing/>
        <w:jc w:val="left"/>
        <w:rPr>
          <w:rFonts w:asciiTheme="majorHAnsi" w:hAnsiTheme="majorHAnsi" w:cstheme="majorHAnsi"/>
          <w:b w:val="0"/>
          <w:sz w:val="24"/>
        </w:rPr>
      </w:pPr>
      <w:r w:rsidRPr="005748B5">
        <w:rPr>
          <w:rFonts w:asciiTheme="majorHAnsi" w:hAnsiTheme="majorHAnsi" w:cstheme="majorHAnsi"/>
          <w:b w:val="0"/>
          <w:sz w:val="24"/>
        </w:rPr>
        <w:t xml:space="preserve"> </w:t>
      </w:r>
    </w:p>
    <w:p w14:paraId="5AA8BE2A" w14:textId="77777777" w:rsidR="005F23E9" w:rsidRPr="005748B5" w:rsidRDefault="005F23E9" w:rsidP="005F23E9">
      <w:pPr>
        <w:pStyle w:val="Title"/>
        <w:spacing w:line="360" w:lineRule="auto"/>
        <w:contextualSpacing/>
        <w:jc w:val="left"/>
        <w:rPr>
          <w:rFonts w:asciiTheme="majorHAnsi" w:hAnsiTheme="majorHAnsi"/>
          <w:b w:val="0"/>
          <w:sz w:val="24"/>
        </w:rPr>
      </w:pPr>
      <w:r w:rsidRPr="005748B5">
        <w:rPr>
          <w:rFonts w:asciiTheme="majorHAnsi" w:hAnsiTheme="majorHAnsi"/>
          <w:b w:val="0"/>
          <w:sz w:val="24"/>
        </w:rPr>
        <w:t xml:space="preserve">The Centre for Health Policy and Management </w:t>
      </w:r>
      <w:r w:rsidRPr="005748B5">
        <w:rPr>
          <w:rFonts w:asciiTheme="majorHAnsi" w:hAnsiTheme="majorHAnsi"/>
          <w:b w:val="0"/>
          <w:sz w:val="24"/>
          <w:shd w:val="clear" w:color="auto" w:fill="FFFFFF"/>
        </w:rPr>
        <w:t xml:space="preserve">aims to produce high quality research to improve the performance of health systems, both internationally and within the Irish context. In addition to our role on the HRB </w:t>
      </w:r>
      <w:proofErr w:type="spellStart"/>
      <w:r w:rsidRPr="005748B5">
        <w:rPr>
          <w:rFonts w:asciiTheme="majorHAnsi" w:hAnsiTheme="majorHAnsi"/>
          <w:b w:val="0"/>
          <w:sz w:val="24"/>
          <w:shd w:val="clear" w:color="auto" w:fill="FFFFFF"/>
        </w:rPr>
        <w:t>SPHeRE</w:t>
      </w:r>
      <w:proofErr w:type="spellEnd"/>
      <w:r w:rsidRPr="005748B5">
        <w:rPr>
          <w:rFonts w:asciiTheme="majorHAnsi" w:hAnsiTheme="majorHAnsi"/>
          <w:b w:val="0"/>
          <w:sz w:val="24"/>
          <w:shd w:val="clear" w:color="auto" w:fill="FFFFFF"/>
        </w:rPr>
        <w:t xml:space="preserve"> Programme, we also run the MSc in Health Services Management and lead on numerous research projects.</w:t>
      </w:r>
    </w:p>
    <w:p w14:paraId="5A39BBE3" w14:textId="77777777" w:rsidR="00DB1123" w:rsidRPr="00700564" w:rsidRDefault="00DB1123" w:rsidP="006037E5">
      <w:pPr>
        <w:rPr>
          <w:color w:val="000000" w:themeColor="text1"/>
        </w:rPr>
      </w:pPr>
    </w:p>
    <w:p w14:paraId="618E7A1C" w14:textId="77777777" w:rsidR="006037E5" w:rsidRDefault="00DB1123" w:rsidP="006037E5">
      <w:pPr>
        <w:rPr>
          <w:b/>
          <w:color w:val="000000" w:themeColor="text1"/>
        </w:rPr>
      </w:pPr>
      <w:r w:rsidRPr="00DB1123">
        <w:rPr>
          <w:b/>
          <w:color w:val="000000" w:themeColor="text1"/>
        </w:rPr>
        <w:t>Standard Duties and Responsibilities of the Post</w:t>
      </w:r>
    </w:p>
    <w:p w14:paraId="1B5C28F2"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Liaise with all lecturing staff across institutions on the taught programme for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 ensure coherence and communication is at a high level particularly for staff teaching one-off sessions or with tangential links to the Programme.</w:t>
      </w:r>
    </w:p>
    <w:p w14:paraId="6867B75D"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Conduct module planning meetings and end of year module evaluations with teaching staff across institutions </w:t>
      </w:r>
      <w:proofErr w:type="gramStart"/>
      <w:r w:rsidRPr="005748B5">
        <w:rPr>
          <w:rFonts w:asciiTheme="majorHAnsi" w:hAnsiTheme="majorHAnsi" w:cs="Arial"/>
          <w:b w:val="0"/>
          <w:sz w:val="24"/>
          <w:lang w:val="en-IE"/>
        </w:rPr>
        <w:t>in order to</w:t>
      </w:r>
      <w:proofErr w:type="gramEnd"/>
      <w:r w:rsidRPr="005748B5">
        <w:rPr>
          <w:rFonts w:asciiTheme="majorHAnsi" w:hAnsiTheme="majorHAnsi" w:cs="Arial"/>
          <w:b w:val="0"/>
          <w:sz w:val="24"/>
          <w:lang w:val="en-IE"/>
        </w:rPr>
        <w:t xml:space="preserve"> facilitate module development for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This includes ensuring that scholar feedback on module delivery is collected and circulated to all teaching staff as appropriate.</w:t>
      </w:r>
    </w:p>
    <w:p w14:paraId="64CB9E17"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Monitor and evaluate eLearning for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with a view to incorporating lessons learnt into the on-going iterations of eLearning development.</w:t>
      </w:r>
    </w:p>
    <w:p w14:paraId="7205C407"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Lead on the generic and transferrable skills training process including building coherence between the taught programme and the workshop programme of Years 2-4 in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w:t>
      </w:r>
    </w:p>
    <w:p w14:paraId="3547463C"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Facilitate the introduction of a peer-learning culture and practice into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including running a ‘peer learning event’ at the beginning of each academic year.</w:t>
      </w:r>
    </w:p>
    <w:p w14:paraId="1DC356C6" w14:textId="0C07B0E1" w:rsidR="005F23E9" w:rsidRPr="00E55EE2" w:rsidRDefault="005F23E9" w:rsidP="053B0598">
      <w:pPr>
        <w:pStyle w:val="Title"/>
        <w:numPr>
          <w:ilvl w:val="0"/>
          <w:numId w:val="2"/>
        </w:numPr>
        <w:spacing w:line="360" w:lineRule="auto"/>
        <w:contextualSpacing/>
        <w:jc w:val="left"/>
        <w:rPr>
          <w:rFonts w:asciiTheme="majorHAnsi" w:hAnsiTheme="majorHAnsi" w:cs="Arial"/>
          <w:b w:val="0"/>
          <w:bCs w:val="0"/>
          <w:sz w:val="24"/>
          <w:lang w:val="en-IE"/>
        </w:rPr>
      </w:pPr>
      <w:r w:rsidRPr="00E55EE2">
        <w:rPr>
          <w:rFonts w:asciiTheme="majorHAnsi" w:hAnsiTheme="majorHAnsi" w:cs="Arial"/>
          <w:b w:val="0"/>
          <w:bCs w:val="0"/>
          <w:sz w:val="24"/>
          <w:lang w:val="en-IE"/>
        </w:rPr>
        <w:t>Contribute to the development of PHSSR</w:t>
      </w:r>
      <w:r w:rsidR="5878B0B2" w:rsidRPr="00E55EE2">
        <w:rPr>
          <w:rFonts w:asciiTheme="majorHAnsi" w:hAnsiTheme="majorHAnsi" w:cs="Arial"/>
          <w:b w:val="0"/>
          <w:bCs w:val="0"/>
          <w:sz w:val="24"/>
          <w:lang w:val="en-IE"/>
        </w:rPr>
        <w:t>; in particular, lead</w:t>
      </w:r>
      <w:r w:rsidR="19D3CB81" w:rsidRPr="00E55EE2">
        <w:rPr>
          <w:rFonts w:asciiTheme="majorHAnsi" w:hAnsiTheme="majorHAnsi" w:cs="Arial"/>
          <w:b w:val="0"/>
          <w:bCs w:val="0"/>
          <w:sz w:val="24"/>
          <w:lang w:val="en-IE"/>
        </w:rPr>
        <w:t xml:space="preserve"> in conducting a strategic curriculum review of the </w:t>
      </w:r>
      <w:proofErr w:type="spellStart"/>
      <w:r w:rsidR="19D3CB81" w:rsidRPr="00E55EE2">
        <w:rPr>
          <w:rFonts w:asciiTheme="majorHAnsi" w:hAnsiTheme="majorHAnsi" w:cs="Arial"/>
          <w:b w:val="0"/>
          <w:bCs w:val="0"/>
          <w:sz w:val="24"/>
          <w:lang w:val="en-IE"/>
        </w:rPr>
        <w:t>SPHeRE</w:t>
      </w:r>
      <w:proofErr w:type="spellEnd"/>
      <w:r w:rsidR="19D3CB81" w:rsidRPr="00E55EE2">
        <w:rPr>
          <w:rFonts w:asciiTheme="majorHAnsi" w:hAnsiTheme="majorHAnsi" w:cs="Arial"/>
          <w:b w:val="0"/>
          <w:bCs w:val="0"/>
          <w:sz w:val="24"/>
          <w:lang w:val="en-IE"/>
        </w:rPr>
        <w:t xml:space="preserve"> taught programme.</w:t>
      </w:r>
    </w:p>
    <w:p w14:paraId="603D23B7"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Contribute to teaching and co-supervision on the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and remain research active in PHHSR.</w:t>
      </w:r>
    </w:p>
    <w:p w14:paraId="41C8F396" w14:textId="77777777" w:rsidR="00DB1123" w:rsidRDefault="00DB1123" w:rsidP="006037E5">
      <w:pPr>
        <w:rPr>
          <w:b/>
          <w:color w:val="000000" w:themeColor="text1"/>
        </w:rPr>
      </w:pPr>
    </w:p>
    <w:p w14:paraId="2EF955D6" w14:textId="77777777" w:rsidR="00DB1123" w:rsidRPr="00DB1123" w:rsidRDefault="00DB1123" w:rsidP="00DB1123">
      <w:pPr>
        <w:rPr>
          <w:b/>
          <w:color w:val="000000" w:themeColor="text1"/>
        </w:rPr>
      </w:pPr>
      <w:r w:rsidRPr="00DB1123">
        <w:rPr>
          <w:b/>
          <w:color w:val="000000" w:themeColor="text1"/>
        </w:rPr>
        <w:t>Funding Information</w:t>
      </w:r>
    </w:p>
    <w:p w14:paraId="4A0D7406"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This post is funded by the HRB </w:t>
      </w:r>
      <w:proofErr w:type="spellStart"/>
      <w:r w:rsidRPr="005748B5">
        <w:rPr>
          <w:rFonts w:asciiTheme="majorHAnsi" w:hAnsiTheme="majorHAnsi" w:cs="Arial"/>
          <w:b w:val="0"/>
          <w:sz w:val="24"/>
          <w:lang w:val="en-IE"/>
        </w:rPr>
        <w:t>SPHeRE</w:t>
      </w:r>
      <w:proofErr w:type="spellEnd"/>
      <w:r w:rsidRPr="005748B5">
        <w:rPr>
          <w:rFonts w:asciiTheme="majorHAnsi" w:hAnsiTheme="majorHAnsi" w:cs="Arial"/>
          <w:b w:val="0"/>
          <w:sz w:val="24"/>
          <w:lang w:val="en-IE"/>
        </w:rPr>
        <w:t xml:space="preserve"> Programme </w:t>
      </w:r>
    </w:p>
    <w:p w14:paraId="72A3D3EC" w14:textId="77777777" w:rsidR="00DB1123" w:rsidRDefault="00DB1123" w:rsidP="006037E5">
      <w:pPr>
        <w:rPr>
          <w:color w:val="000000" w:themeColor="text1"/>
        </w:rPr>
      </w:pPr>
    </w:p>
    <w:p w14:paraId="0D0B940D" w14:textId="77777777" w:rsidR="009B6587" w:rsidRDefault="009B6587" w:rsidP="00DB1123">
      <w:pPr>
        <w:rPr>
          <w:b/>
          <w:color w:val="000000" w:themeColor="text1"/>
        </w:rPr>
      </w:pPr>
    </w:p>
    <w:p w14:paraId="0495E737" w14:textId="77777777" w:rsidR="00DB1123" w:rsidRPr="00DB1123" w:rsidRDefault="00DB1123" w:rsidP="00DB1123">
      <w:pPr>
        <w:rPr>
          <w:b/>
          <w:color w:val="000000" w:themeColor="text1"/>
        </w:rPr>
      </w:pPr>
      <w:r w:rsidRPr="00DB1123">
        <w:rPr>
          <w:b/>
          <w:color w:val="000000" w:themeColor="text1"/>
        </w:rPr>
        <w:t>Person Specification</w:t>
      </w:r>
    </w:p>
    <w:p w14:paraId="0E27B00A" w14:textId="77777777" w:rsidR="009B6587" w:rsidRDefault="009B6587" w:rsidP="005F23E9">
      <w:pPr>
        <w:pStyle w:val="Title"/>
        <w:spacing w:line="360" w:lineRule="auto"/>
        <w:contextualSpacing/>
        <w:jc w:val="left"/>
        <w:rPr>
          <w:rFonts w:asciiTheme="majorHAnsi" w:hAnsiTheme="majorHAnsi" w:cs="Arial"/>
          <w:sz w:val="24"/>
          <w:lang w:val="en-IE"/>
        </w:rPr>
      </w:pPr>
    </w:p>
    <w:p w14:paraId="1029D731" w14:textId="77777777" w:rsidR="005F23E9" w:rsidRPr="005748B5" w:rsidRDefault="005F23E9" w:rsidP="005F23E9">
      <w:pPr>
        <w:pStyle w:val="Title"/>
        <w:spacing w:line="360" w:lineRule="auto"/>
        <w:contextualSpacing/>
        <w:jc w:val="left"/>
        <w:rPr>
          <w:rFonts w:asciiTheme="majorHAnsi" w:hAnsiTheme="majorHAnsi" w:cs="Arial"/>
          <w:sz w:val="24"/>
          <w:lang w:val="en-IE"/>
        </w:rPr>
      </w:pPr>
      <w:r w:rsidRPr="005748B5">
        <w:rPr>
          <w:rFonts w:asciiTheme="majorHAnsi" w:hAnsiTheme="majorHAnsi" w:cs="Arial"/>
          <w:sz w:val="24"/>
          <w:lang w:val="en-IE"/>
        </w:rPr>
        <w:t>Qualifications</w:t>
      </w:r>
    </w:p>
    <w:p w14:paraId="270E4DCF"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sz w:val="24"/>
          <w:lang w:val="en-IE"/>
        </w:rPr>
      </w:pPr>
      <w:r w:rsidRPr="005748B5">
        <w:rPr>
          <w:rFonts w:asciiTheme="majorHAnsi" w:hAnsiTheme="majorHAnsi" w:cs="Arial"/>
          <w:b w:val="0"/>
          <w:sz w:val="24"/>
          <w:lang w:val="en-IE"/>
        </w:rPr>
        <w:t>PhD ideally in a PHHSR related area.</w:t>
      </w:r>
    </w:p>
    <w:p w14:paraId="60061E4C" w14:textId="77777777" w:rsidR="005F23E9" w:rsidRPr="005748B5" w:rsidRDefault="005F23E9" w:rsidP="005F23E9">
      <w:pPr>
        <w:pStyle w:val="Title"/>
        <w:spacing w:line="360" w:lineRule="auto"/>
        <w:ind w:left="360"/>
        <w:contextualSpacing/>
        <w:jc w:val="left"/>
        <w:rPr>
          <w:rFonts w:asciiTheme="majorHAnsi" w:hAnsiTheme="majorHAnsi" w:cs="Arial"/>
          <w:i/>
          <w:sz w:val="24"/>
          <w:lang w:val="en-IE"/>
        </w:rPr>
      </w:pPr>
    </w:p>
    <w:p w14:paraId="64BFFE51" w14:textId="77777777" w:rsidR="005F23E9" w:rsidRPr="005748B5" w:rsidRDefault="005F23E9" w:rsidP="005F23E9">
      <w:pPr>
        <w:pStyle w:val="Title"/>
        <w:spacing w:line="360" w:lineRule="auto"/>
        <w:contextualSpacing/>
        <w:jc w:val="left"/>
        <w:rPr>
          <w:rFonts w:asciiTheme="majorHAnsi" w:hAnsiTheme="majorHAnsi" w:cs="Arial"/>
          <w:sz w:val="24"/>
          <w:lang w:val="en-IE"/>
        </w:rPr>
      </w:pPr>
      <w:r w:rsidRPr="005748B5">
        <w:rPr>
          <w:rFonts w:asciiTheme="majorHAnsi" w:hAnsiTheme="majorHAnsi" w:cs="Arial"/>
          <w:sz w:val="24"/>
          <w:lang w:val="en-IE"/>
        </w:rPr>
        <w:t>Knowledge &amp; Experience (Essential &amp; Desirable)</w:t>
      </w:r>
    </w:p>
    <w:p w14:paraId="0895C2DB" w14:textId="77777777" w:rsidR="005F23E9" w:rsidRPr="005748B5" w:rsidRDefault="005F23E9" w:rsidP="005F23E9">
      <w:pPr>
        <w:pStyle w:val="Title"/>
        <w:spacing w:line="360" w:lineRule="auto"/>
        <w:contextualSpacing/>
        <w:jc w:val="left"/>
        <w:rPr>
          <w:rFonts w:asciiTheme="majorHAnsi" w:hAnsiTheme="majorHAnsi" w:cs="Arial"/>
          <w:sz w:val="24"/>
          <w:lang w:val="en-IE"/>
        </w:rPr>
      </w:pPr>
      <w:r w:rsidRPr="005748B5">
        <w:rPr>
          <w:rFonts w:asciiTheme="majorHAnsi" w:hAnsiTheme="majorHAnsi" w:cs="Arial"/>
          <w:sz w:val="24"/>
          <w:lang w:val="en-IE"/>
        </w:rPr>
        <w:t>Essential</w:t>
      </w:r>
    </w:p>
    <w:p w14:paraId="356A404A"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Curriculum development (</w:t>
      </w:r>
      <w:proofErr w:type="gramStart"/>
      <w:r w:rsidRPr="005748B5">
        <w:rPr>
          <w:rFonts w:asciiTheme="majorHAnsi" w:hAnsiTheme="majorHAnsi" w:cs="Arial"/>
          <w:b w:val="0"/>
          <w:sz w:val="24"/>
          <w:lang w:val="en-IE"/>
        </w:rPr>
        <w:t>e.g.</w:t>
      </w:r>
      <w:proofErr w:type="gramEnd"/>
      <w:r w:rsidRPr="005748B5">
        <w:rPr>
          <w:rFonts w:asciiTheme="majorHAnsi" w:hAnsiTheme="majorHAnsi" w:cs="Arial"/>
          <w:b w:val="0"/>
          <w:sz w:val="24"/>
          <w:lang w:val="en-IE"/>
        </w:rPr>
        <w:t xml:space="preserve"> understanding of learning objectives, module design)</w:t>
      </w:r>
    </w:p>
    <w:p w14:paraId="58784C41"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Teaching experience</w:t>
      </w:r>
    </w:p>
    <w:p w14:paraId="17C2EFE2"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Knowledge of teaching and learning methods including adult learning pedagogy (andragogy), eLearning, distance learning etc.</w:t>
      </w:r>
    </w:p>
    <w:p w14:paraId="1294A7F8"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Familiarity with collaborative ways of working – team-working etc.</w:t>
      </w:r>
    </w:p>
    <w:p w14:paraId="1A00D087"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Ability to engage and work with senior academics (module leads, etc.)</w:t>
      </w:r>
    </w:p>
    <w:p w14:paraId="44EAFD9C" w14:textId="77777777" w:rsidR="005F23E9" w:rsidRPr="005748B5" w:rsidRDefault="005F23E9" w:rsidP="005F23E9">
      <w:pPr>
        <w:pStyle w:val="Title"/>
        <w:spacing w:line="360" w:lineRule="auto"/>
        <w:ind w:left="720"/>
        <w:contextualSpacing/>
        <w:jc w:val="left"/>
        <w:rPr>
          <w:rFonts w:asciiTheme="majorHAnsi" w:hAnsiTheme="majorHAnsi" w:cs="Arial"/>
          <w:b w:val="0"/>
          <w:sz w:val="24"/>
          <w:lang w:val="en-IE"/>
        </w:rPr>
      </w:pPr>
    </w:p>
    <w:p w14:paraId="248B3EE6" w14:textId="77777777" w:rsidR="005F23E9" w:rsidRPr="005F23E9" w:rsidRDefault="005F23E9" w:rsidP="005F23E9">
      <w:pPr>
        <w:pStyle w:val="Title"/>
        <w:spacing w:line="360" w:lineRule="auto"/>
        <w:contextualSpacing/>
        <w:jc w:val="left"/>
        <w:rPr>
          <w:rFonts w:asciiTheme="majorHAnsi" w:hAnsiTheme="majorHAnsi" w:cs="Arial"/>
          <w:sz w:val="24"/>
          <w:lang w:val="en-IE"/>
        </w:rPr>
      </w:pPr>
      <w:r w:rsidRPr="005F23E9">
        <w:rPr>
          <w:rFonts w:asciiTheme="majorHAnsi" w:hAnsiTheme="majorHAnsi" w:cs="Arial"/>
          <w:sz w:val="24"/>
          <w:lang w:val="en-IE"/>
        </w:rPr>
        <w:t>Desirable</w:t>
      </w:r>
    </w:p>
    <w:p w14:paraId="0D0CAD01"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Some familiarity with TCD student administration bodies/systems </w:t>
      </w:r>
    </w:p>
    <w:p w14:paraId="135521DA" w14:textId="77777777" w:rsidR="005F23E9" w:rsidRPr="005748B5" w:rsidRDefault="005F23E9" w:rsidP="005F23E9">
      <w:pPr>
        <w:pStyle w:val="Title"/>
        <w:numPr>
          <w:ilvl w:val="0"/>
          <w:numId w:val="2"/>
        </w:numPr>
        <w:spacing w:line="360" w:lineRule="auto"/>
        <w:contextualSpacing/>
        <w:jc w:val="left"/>
        <w:rPr>
          <w:rFonts w:asciiTheme="majorHAnsi" w:hAnsiTheme="majorHAnsi" w:cs="Arial"/>
          <w:b w:val="0"/>
          <w:sz w:val="24"/>
          <w:lang w:val="en-IE"/>
        </w:rPr>
      </w:pPr>
      <w:r w:rsidRPr="005748B5">
        <w:rPr>
          <w:rFonts w:asciiTheme="majorHAnsi" w:hAnsiTheme="majorHAnsi" w:cs="Arial"/>
          <w:b w:val="0"/>
          <w:sz w:val="24"/>
          <w:lang w:val="en-IE"/>
        </w:rPr>
        <w:t xml:space="preserve">Experience of </w:t>
      </w:r>
      <w:proofErr w:type="spellStart"/>
      <w:r w:rsidRPr="005748B5">
        <w:rPr>
          <w:rFonts w:asciiTheme="majorHAnsi" w:hAnsiTheme="majorHAnsi" w:cs="Arial"/>
          <w:b w:val="0"/>
          <w:sz w:val="24"/>
          <w:lang w:val="en-IE"/>
        </w:rPr>
        <w:t>SPHeRE</w:t>
      </w:r>
      <w:proofErr w:type="spellEnd"/>
    </w:p>
    <w:p w14:paraId="4B94D5A5" w14:textId="77777777" w:rsidR="005F23E9" w:rsidRPr="005748B5" w:rsidRDefault="005F23E9" w:rsidP="005F23E9">
      <w:pPr>
        <w:pStyle w:val="Title"/>
        <w:spacing w:line="360" w:lineRule="auto"/>
        <w:contextualSpacing/>
        <w:jc w:val="left"/>
        <w:rPr>
          <w:rFonts w:asciiTheme="majorHAnsi" w:hAnsiTheme="majorHAnsi" w:cs="Arial"/>
          <w:sz w:val="24"/>
          <w:lang w:val="en-IE"/>
        </w:rPr>
      </w:pPr>
    </w:p>
    <w:p w14:paraId="54C13151" w14:textId="77777777" w:rsidR="005F23E9" w:rsidRPr="005748B5" w:rsidRDefault="005F23E9" w:rsidP="005F23E9">
      <w:pPr>
        <w:pStyle w:val="Title"/>
        <w:spacing w:line="360" w:lineRule="auto"/>
        <w:contextualSpacing/>
        <w:jc w:val="left"/>
        <w:rPr>
          <w:rFonts w:asciiTheme="majorHAnsi" w:hAnsiTheme="majorHAnsi" w:cs="Arial"/>
          <w:sz w:val="24"/>
          <w:lang w:val="en-IE"/>
        </w:rPr>
      </w:pPr>
      <w:r w:rsidRPr="005748B5">
        <w:rPr>
          <w:rFonts w:asciiTheme="majorHAnsi" w:hAnsiTheme="majorHAnsi" w:cs="Arial"/>
          <w:sz w:val="24"/>
          <w:lang w:val="en-IE"/>
        </w:rPr>
        <w:t>Skills &amp; Competencies</w:t>
      </w:r>
    </w:p>
    <w:p w14:paraId="77D48639" w14:textId="77777777" w:rsidR="005F23E9" w:rsidRPr="005748B5" w:rsidRDefault="005F23E9" w:rsidP="005F23E9">
      <w:pPr>
        <w:pStyle w:val="ListParagraph"/>
        <w:numPr>
          <w:ilvl w:val="0"/>
          <w:numId w:val="2"/>
        </w:numPr>
        <w:spacing w:after="160"/>
        <w:rPr>
          <w:rFonts w:asciiTheme="majorHAnsi" w:hAnsiTheme="majorHAnsi"/>
        </w:rPr>
      </w:pPr>
      <w:r w:rsidRPr="005748B5">
        <w:rPr>
          <w:rFonts w:asciiTheme="majorHAnsi" w:hAnsiTheme="majorHAnsi"/>
        </w:rPr>
        <w:t>Team-working skills are critical</w:t>
      </w:r>
    </w:p>
    <w:p w14:paraId="446B73DB" w14:textId="77777777" w:rsidR="005F23E9" w:rsidRPr="005748B5" w:rsidRDefault="005F23E9" w:rsidP="005F23E9">
      <w:pPr>
        <w:pStyle w:val="ListParagraph"/>
        <w:numPr>
          <w:ilvl w:val="0"/>
          <w:numId w:val="2"/>
        </w:numPr>
        <w:spacing w:after="160"/>
        <w:rPr>
          <w:rFonts w:asciiTheme="majorHAnsi" w:hAnsiTheme="majorHAnsi"/>
        </w:rPr>
      </w:pPr>
      <w:r w:rsidRPr="005748B5">
        <w:rPr>
          <w:rFonts w:asciiTheme="majorHAnsi" w:hAnsiTheme="majorHAnsi"/>
        </w:rPr>
        <w:t>Proven ability to plan, prioritise and meet deadlines.</w:t>
      </w:r>
    </w:p>
    <w:p w14:paraId="4CE1AF17" w14:textId="77777777" w:rsidR="005F23E9" w:rsidRPr="005748B5" w:rsidRDefault="005F23E9" w:rsidP="005F23E9">
      <w:pPr>
        <w:pStyle w:val="ListParagraph"/>
        <w:numPr>
          <w:ilvl w:val="0"/>
          <w:numId w:val="2"/>
        </w:numPr>
        <w:spacing w:after="160"/>
        <w:rPr>
          <w:rFonts w:asciiTheme="majorHAnsi" w:hAnsiTheme="majorHAnsi"/>
        </w:rPr>
      </w:pPr>
      <w:r w:rsidRPr="005748B5">
        <w:rPr>
          <w:rFonts w:asciiTheme="majorHAnsi" w:hAnsiTheme="majorHAnsi"/>
        </w:rPr>
        <w:t>Excellent communication and interpersonal skills.</w:t>
      </w:r>
    </w:p>
    <w:p w14:paraId="766B23A6" w14:textId="77777777" w:rsidR="005F23E9" w:rsidRPr="005748B5" w:rsidRDefault="005F23E9" w:rsidP="005F23E9">
      <w:pPr>
        <w:pStyle w:val="ListParagraph"/>
        <w:numPr>
          <w:ilvl w:val="0"/>
          <w:numId w:val="2"/>
        </w:numPr>
        <w:spacing w:after="160"/>
        <w:rPr>
          <w:rFonts w:asciiTheme="majorHAnsi" w:hAnsiTheme="majorHAnsi"/>
        </w:rPr>
      </w:pPr>
      <w:r w:rsidRPr="005748B5">
        <w:rPr>
          <w:rFonts w:asciiTheme="majorHAnsi" w:hAnsiTheme="majorHAnsi"/>
        </w:rPr>
        <w:t>Ability to work independently and as part of a team.</w:t>
      </w:r>
    </w:p>
    <w:p w14:paraId="6D117838" w14:textId="77777777" w:rsidR="005F23E9" w:rsidRPr="005748B5" w:rsidRDefault="005F23E9" w:rsidP="005F23E9">
      <w:pPr>
        <w:pStyle w:val="ListParagraph"/>
        <w:numPr>
          <w:ilvl w:val="0"/>
          <w:numId w:val="2"/>
        </w:numPr>
        <w:spacing w:after="160"/>
        <w:rPr>
          <w:rFonts w:asciiTheme="majorHAnsi" w:hAnsiTheme="majorHAnsi"/>
        </w:rPr>
      </w:pPr>
      <w:r w:rsidRPr="005748B5">
        <w:rPr>
          <w:rFonts w:asciiTheme="majorHAnsi" w:hAnsiTheme="majorHAnsi"/>
        </w:rPr>
        <w:t xml:space="preserve">Excellent IT skills, including MS Office, </w:t>
      </w:r>
      <w:proofErr w:type="gramStart"/>
      <w:r w:rsidRPr="005748B5">
        <w:rPr>
          <w:rFonts w:asciiTheme="majorHAnsi" w:hAnsiTheme="majorHAnsi"/>
        </w:rPr>
        <w:t>e-mail</w:t>
      </w:r>
      <w:proofErr w:type="gramEnd"/>
      <w:r w:rsidRPr="005748B5">
        <w:rPr>
          <w:rFonts w:asciiTheme="majorHAnsi" w:hAnsiTheme="majorHAnsi"/>
        </w:rPr>
        <w:t xml:space="preserve"> and Internet.</w:t>
      </w:r>
    </w:p>
    <w:p w14:paraId="3DEEC669" w14:textId="77777777" w:rsidR="00DB1123" w:rsidRDefault="00DB1123" w:rsidP="006037E5">
      <w:pPr>
        <w:rPr>
          <w:color w:val="000000" w:themeColor="text1"/>
        </w:rPr>
      </w:pPr>
    </w:p>
    <w:p w14:paraId="7F64DFAF" w14:textId="77777777" w:rsidR="00645CF5" w:rsidRPr="00645CF5" w:rsidRDefault="00645CF5" w:rsidP="00645CF5">
      <w:pPr>
        <w:rPr>
          <w:b/>
          <w:bCs/>
          <w:color w:val="000000" w:themeColor="text1"/>
        </w:rPr>
      </w:pPr>
      <w:r w:rsidRPr="00645CF5">
        <w:rPr>
          <w:b/>
          <w:bCs/>
          <w:color w:val="000000" w:themeColor="text1"/>
        </w:rPr>
        <w:t>Application Procedure</w:t>
      </w:r>
    </w:p>
    <w:p w14:paraId="5ED34339" w14:textId="582D68E9" w:rsidR="005F23E9" w:rsidRPr="009B50AE" w:rsidRDefault="00645CF5" w:rsidP="005F23E9">
      <w:pPr>
        <w:pStyle w:val="NormalWeb"/>
        <w:rPr>
          <w:rFonts w:asciiTheme="majorHAnsi" w:hAnsiTheme="majorHAnsi"/>
        </w:rPr>
      </w:pPr>
      <w:r w:rsidRPr="009B50AE">
        <w:rPr>
          <w:rFonts w:asciiTheme="majorHAnsi" w:hAnsiTheme="majorHAnsi"/>
          <w:color w:val="000000" w:themeColor="text1"/>
        </w:rPr>
        <w:t xml:space="preserve">Applicants should submit a </w:t>
      </w:r>
      <w:r w:rsidR="005F23E9" w:rsidRPr="009B50AE">
        <w:rPr>
          <w:rFonts w:asciiTheme="majorHAnsi" w:hAnsiTheme="majorHAnsi"/>
          <w:color w:val="000000" w:themeColor="text1"/>
        </w:rPr>
        <w:t xml:space="preserve">cover letter and </w:t>
      </w:r>
      <w:r w:rsidRPr="009B50AE">
        <w:rPr>
          <w:rFonts w:asciiTheme="majorHAnsi" w:hAnsiTheme="majorHAnsi"/>
          <w:color w:val="000000" w:themeColor="text1"/>
        </w:rPr>
        <w:t>full Curriculum Vitae to include the names and contact details of</w:t>
      </w:r>
      <w:r w:rsidR="00E55EE2">
        <w:rPr>
          <w:rFonts w:asciiTheme="majorHAnsi" w:hAnsiTheme="majorHAnsi"/>
          <w:color w:val="000000" w:themeColor="text1"/>
        </w:rPr>
        <w:t xml:space="preserve"> 2</w:t>
      </w:r>
      <w:r w:rsidRPr="009B50AE">
        <w:rPr>
          <w:rFonts w:asciiTheme="majorHAnsi" w:hAnsiTheme="majorHAnsi"/>
          <w:color w:val="000000" w:themeColor="text1"/>
        </w:rPr>
        <w:t xml:space="preserve"> referees (including email addresses), </w:t>
      </w:r>
      <w:proofErr w:type="gramStart"/>
      <w:r w:rsidRPr="009B50AE">
        <w:rPr>
          <w:rFonts w:asciiTheme="majorHAnsi" w:hAnsiTheme="majorHAnsi"/>
          <w:color w:val="000000" w:themeColor="text1"/>
        </w:rPr>
        <w:t>to:-</w:t>
      </w:r>
      <w:proofErr w:type="gramEnd"/>
      <w:r w:rsidRPr="009B50AE">
        <w:rPr>
          <w:rFonts w:asciiTheme="majorHAnsi" w:hAnsiTheme="majorHAnsi"/>
          <w:color w:val="000000" w:themeColor="text1"/>
        </w:rPr>
        <w:t xml:space="preserve"> </w:t>
      </w:r>
      <w:r w:rsidRPr="009B50AE">
        <w:rPr>
          <w:rFonts w:asciiTheme="majorHAnsi" w:hAnsiTheme="majorHAnsi"/>
          <w:color w:val="000000" w:themeColor="text1"/>
        </w:rPr>
        <w:br/>
      </w:r>
    </w:p>
    <w:p w14:paraId="0EA9B4F6" w14:textId="77777777" w:rsidR="005F23E9" w:rsidRPr="009B50AE" w:rsidRDefault="005F23E9" w:rsidP="005F23E9">
      <w:pPr>
        <w:pStyle w:val="NormalWeb"/>
        <w:rPr>
          <w:rFonts w:asciiTheme="majorHAnsi" w:hAnsiTheme="majorHAnsi"/>
        </w:rPr>
      </w:pPr>
      <w:r w:rsidRPr="009B50AE">
        <w:rPr>
          <w:rFonts w:asciiTheme="majorHAnsi" w:hAnsiTheme="majorHAnsi"/>
        </w:rPr>
        <w:t>Sheena Cleary,</w:t>
      </w:r>
    </w:p>
    <w:p w14:paraId="3FD6D414" w14:textId="77777777" w:rsidR="005F23E9" w:rsidRPr="009B50AE" w:rsidRDefault="005F23E9" w:rsidP="005F23E9">
      <w:pPr>
        <w:pStyle w:val="NormalWeb"/>
        <w:rPr>
          <w:rFonts w:asciiTheme="majorHAnsi" w:hAnsiTheme="majorHAnsi"/>
        </w:rPr>
      </w:pPr>
      <w:r w:rsidRPr="009B50AE">
        <w:rPr>
          <w:rFonts w:asciiTheme="majorHAnsi" w:hAnsiTheme="majorHAnsi"/>
        </w:rPr>
        <w:t xml:space="preserve"> TCD </w:t>
      </w:r>
      <w:proofErr w:type="spellStart"/>
      <w:r w:rsidRPr="009B50AE">
        <w:rPr>
          <w:rFonts w:asciiTheme="majorHAnsi" w:hAnsiTheme="majorHAnsi"/>
        </w:rPr>
        <w:t>SPHeRE</w:t>
      </w:r>
      <w:proofErr w:type="spellEnd"/>
      <w:r w:rsidRPr="009B50AE">
        <w:rPr>
          <w:rFonts w:asciiTheme="majorHAnsi" w:hAnsiTheme="majorHAnsi"/>
        </w:rPr>
        <w:t xml:space="preserve"> Administrator/SEO Centre for Health Policy and Management, </w:t>
      </w:r>
    </w:p>
    <w:p w14:paraId="1C97CDCD" w14:textId="77777777" w:rsidR="005F23E9" w:rsidRPr="009B50AE" w:rsidRDefault="005F23E9" w:rsidP="005F23E9">
      <w:pPr>
        <w:pStyle w:val="NormalWeb"/>
        <w:rPr>
          <w:rFonts w:asciiTheme="majorHAnsi" w:hAnsiTheme="majorHAnsi"/>
        </w:rPr>
      </w:pPr>
      <w:r w:rsidRPr="009B50AE">
        <w:rPr>
          <w:rFonts w:asciiTheme="majorHAnsi" w:hAnsiTheme="majorHAnsi"/>
        </w:rPr>
        <w:t>hsmsec@tcd.ie.</w:t>
      </w:r>
    </w:p>
    <w:p w14:paraId="3656B9AB" w14:textId="77777777" w:rsidR="00DB1123" w:rsidRPr="00A519F4" w:rsidRDefault="00DB1123" w:rsidP="005F23E9">
      <w:pPr>
        <w:rPr>
          <w:color w:val="000000" w:themeColor="text1"/>
        </w:rPr>
      </w:pPr>
    </w:p>
    <w:p w14:paraId="45FB0818" w14:textId="77777777" w:rsidR="00DD199B" w:rsidRDefault="00DD199B" w:rsidP="0044241F">
      <w:pPr>
        <w:rPr>
          <w:rFonts w:eastAsia="Arial"/>
          <w:b/>
          <w:color w:val="000000" w:themeColor="text1"/>
        </w:rPr>
      </w:pPr>
    </w:p>
    <w:p w14:paraId="161E14B4" w14:textId="77777777" w:rsidR="0044241F" w:rsidRPr="001642B4" w:rsidRDefault="006037E5" w:rsidP="0044241F">
      <w:pPr>
        <w:rPr>
          <w:rFonts w:eastAsia="Arial"/>
          <w:b/>
          <w:color w:val="000000" w:themeColor="text1"/>
          <w:w w:val="101"/>
        </w:rPr>
      </w:pPr>
      <w:r w:rsidRPr="00A519F4">
        <w:rPr>
          <w:rFonts w:eastAsia="Arial"/>
          <w:b/>
          <w:color w:val="000000" w:themeColor="text1"/>
        </w:rPr>
        <w:t>F</w:t>
      </w:r>
      <w:r w:rsidRPr="00A519F4">
        <w:rPr>
          <w:rFonts w:eastAsia="Arial"/>
          <w:b/>
          <w:color w:val="000000" w:themeColor="text1"/>
          <w:spacing w:val="-1"/>
        </w:rPr>
        <w:t>u</w:t>
      </w:r>
      <w:r w:rsidRPr="00A519F4">
        <w:rPr>
          <w:rFonts w:eastAsia="Arial"/>
          <w:b/>
          <w:color w:val="000000" w:themeColor="text1"/>
        </w:rPr>
        <w:t>rther</w:t>
      </w:r>
      <w:r w:rsidRPr="00A519F4">
        <w:rPr>
          <w:rFonts w:eastAsia="Arial"/>
          <w:b/>
          <w:color w:val="000000" w:themeColor="text1"/>
          <w:spacing w:val="10"/>
        </w:rPr>
        <w:t xml:space="preserve"> </w:t>
      </w:r>
      <w:r w:rsidRPr="00A519F4">
        <w:rPr>
          <w:rFonts w:eastAsia="Arial"/>
          <w:b/>
          <w:color w:val="000000" w:themeColor="text1"/>
          <w:w w:val="101"/>
        </w:rPr>
        <w:t>I</w:t>
      </w:r>
      <w:r w:rsidRPr="00A519F4">
        <w:rPr>
          <w:rFonts w:eastAsia="Arial"/>
          <w:b/>
          <w:color w:val="000000" w:themeColor="text1"/>
          <w:spacing w:val="-1"/>
          <w:w w:val="101"/>
        </w:rPr>
        <w:t>nf</w:t>
      </w:r>
      <w:r w:rsidRPr="00A519F4">
        <w:rPr>
          <w:rFonts w:eastAsia="Arial"/>
          <w:b/>
          <w:color w:val="000000" w:themeColor="text1"/>
          <w:w w:val="101"/>
        </w:rPr>
        <w:t>ormati</w:t>
      </w:r>
      <w:r w:rsidRPr="00A519F4">
        <w:rPr>
          <w:rFonts w:eastAsia="Arial"/>
          <w:b/>
          <w:color w:val="000000" w:themeColor="text1"/>
          <w:spacing w:val="-1"/>
          <w:w w:val="101"/>
        </w:rPr>
        <w:t>o</w:t>
      </w:r>
      <w:r w:rsidRPr="00A519F4">
        <w:rPr>
          <w:rFonts w:eastAsia="Arial"/>
          <w:b/>
          <w:color w:val="000000" w:themeColor="text1"/>
          <w:w w:val="101"/>
        </w:rPr>
        <w:t>n</w:t>
      </w:r>
      <w:r w:rsidR="001642B4">
        <w:rPr>
          <w:rFonts w:eastAsia="Arial"/>
          <w:b/>
          <w:color w:val="000000" w:themeColor="text1"/>
          <w:w w:val="101"/>
        </w:rPr>
        <w:t xml:space="preserve"> for </w:t>
      </w:r>
      <w:r w:rsidR="00EA7551">
        <w:rPr>
          <w:rFonts w:eastAsia="Arial"/>
          <w:b/>
          <w:color w:val="000000" w:themeColor="text1"/>
          <w:w w:val="101"/>
        </w:rPr>
        <w:t>Applicant</w:t>
      </w:r>
      <w:r w:rsidR="001642B4">
        <w:rPr>
          <w:rFonts w:eastAsia="Arial"/>
          <w:b/>
          <w:color w:val="000000" w:themeColor="text1"/>
          <w:w w:val="101"/>
        </w:rPr>
        <w:t>s</w:t>
      </w:r>
      <w:r w:rsidR="00C64330">
        <w:rPr>
          <w:rFonts w:eastAsia="Arial"/>
          <w:b/>
          <w:color w:val="000000" w:themeColor="text1"/>
          <w:w w:val="101"/>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5409"/>
      </w:tblGrid>
      <w:tr w:rsidR="00A519F4" w:rsidRPr="00A519F4" w14:paraId="0974CE87" w14:textId="77777777" w:rsidTr="00D53AC6">
        <w:tc>
          <w:tcPr>
            <w:tcW w:w="4361" w:type="dxa"/>
          </w:tcPr>
          <w:p w14:paraId="3814F470" w14:textId="77777777" w:rsidR="0044241F" w:rsidRPr="00A519F4" w:rsidRDefault="0044241F" w:rsidP="0044241F">
            <w:pPr>
              <w:rPr>
                <w:color w:val="000000" w:themeColor="text1"/>
                <w:lang w:val="en-IE"/>
              </w:rPr>
            </w:pPr>
            <w:r w:rsidRPr="00A519F4">
              <w:rPr>
                <w:color w:val="000000" w:themeColor="text1"/>
                <w:lang w:val="en-IE"/>
              </w:rPr>
              <w:t>URL Link to Area</w:t>
            </w:r>
          </w:p>
        </w:tc>
        <w:tc>
          <w:tcPr>
            <w:tcW w:w="6079" w:type="dxa"/>
          </w:tcPr>
          <w:p w14:paraId="1A001F7C" w14:textId="77777777" w:rsidR="0044241F" w:rsidRPr="00A519F4" w:rsidRDefault="00F94B74" w:rsidP="0044241F">
            <w:pPr>
              <w:rPr>
                <w:color w:val="000000" w:themeColor="text1"/>
                <w:lang w:val="en-IE"/>
              </w:rPr>
            </w:pPr>
            <w:hyperlink r:id="rId8" w:history="1">
              <w:r w:rsidR="0044241F" w:rsidRPr="004834C1">
                <w:rPr>
                  <w:rStyle w:val="Hyperlink"/>
                  <w:lang w:val="en-IE"/>
                </w:rPr>
                <w:t>www.tcd.ie</w:t>
              </w:r>
            </w:hyperlink>
          </w:p>
        </w:tc>
      </w:tr>
      <w:tr w:rsidR="0044241F" w:rsidRPr="00A519F4" w14:paraId="19527087" w14:textId="77777777" w:rsidTr="00D53AC6">
        <w:tc>
          <w:tcPr>
            <w:tcW w:w="4361" w:type="dxa"/>
          </w:tcPr>
          <w:p w14:paraId="4856F511" w14:textId="77777777" w:rsidR="0044241F" w:rsidRPr="00A519F4" w:rsidRDefault="0044241F" w:rsidP="0044241F">
            <w:pPr>
              <w:rPr>
                <w:color w:val="000000" w:themeColor="text1"/>
                <w:lang w:val="en-IE"/>
              </w:rPr>
            </w:pPr>
            <w:r w:rsidRPr="00A519F4">
              <w:rPr>
                <w:color w:val="000000" w:themeColor="text1"/>
                <w:lang w:val="en-IE"/>
              </w:rPr>
              <w:t>URL Link to Human Resources</w:t>
            </w:r>
          </w:p>
        </w:tc>
        <w:tc>
          <w:tcPr>
            <w:tcW w:w="6079" w:type="dxa"/>
          </w:tcPr>
          <w:p w14:paraId="1CFD1AAA" w14:textId="77777777" w:rsidR="0044241F" w:rsidRPr="00A519F4" w:rsidRDefault="00F94B74" w:rsidP="002C79DF">
            <w:pPr>
              <w:rPr>
                <w:color w:val="000000" w:themeColor="text1"/>
                <w:lang w:val="en-IE"/>
              </w:rPr>
            </w:pPr>
            <w:hyperlink r:id="rId9" w:history="1">
              <w:r w:rsidR="0044241F" w:rsidRPr="004834C1">
                <w:rPr>
                  <w:rStyle w:val="Hyperlink"/>
                  <w:lang w:val="en-IE"/>
                </w:rPr>
                <w:t>https://www.tcd.ie/hr/</w:t>
              </w:r>
            </w:hyperlink>
          </w:p>
        </w:tc>
      </w:tr>
    </w:tbl>
    <w:p w14:paraId="049F31CB" w14:textId="77777777" w:rsidR="00BD0E15" w:rsidRPr="00A519F4" w:rsidRDefault="00BD0E15" w:rsidP="0044241F">
      <w:pPr>
        <w:rPr>
          <w:b/>
          <w:color w:val="000000" w:themeColor="text1"/>
        </w:rPr>
      </w:pPr>
    </w:p>
    <w:p w14:paraId="53128261" w14:textId="77777777" w:rsidR="002C79DF" w:rsidRDefault="002C79DF">
      <w:pPr>
        <w:spacing w:after="200" w:line="276" w:lineRule="auto"/>
        <w:rPr>
          <w:b/>
          <w:color w:val="000000" w:themeColor="text1"/>
        </w:rPr>
      </w:pPr>
      <w:r>
        <w:rPr>
          <w:b/>
          <w:color w:val="000000" w:themeColor="text1"/>
        </w:rPr>
        <w:br w:type="page"/>
      </w:r>
    </w:p>
    <w:p w14:paraId="1F72F646" w14:textId="77777777" w:rsidR="00EC3EAC" w:rsidRPr="00A519F4" w:rsidRDefault="00EC3EAC" w:rsidP="005047AA">
      <w:pPr>
        <w:rPr>
          <w:b/>
          <w:color w:val="000000" w:themeColor="text1"/>
          <w:lang w:val="en-IE"/>
        </w:rPr>
        <w:sectPr w:rsidR="00EC3EAC" w:rsidRPr="00A519F4" w:rsidSect="005F3E29">
          <w:footerReference w:type="default" r:id="rId10"/>
          <w:headerReference w:type="first" r:id="rId11"/>
          <w:type w:val="continuous"/>
          <w:pgSz w:w="11906" w:h="16838"/>
          <w:pgMar w:top="1440" w:right="1274" w:bottom="993" w:left="1440" w:header="708" w:footer="239" w:gutter="0"/>
          <w:cols w:space="708"/>
          <w:docGrid w:linePitch="360"/>
        </w:sectPr>
      </w:pPr>
    </w:p>
    <w:p w14:paraId="2F12FC10" w14:textId="77777777" w:rsidR="00C570E3" w:rsidRPr="00400BD5" w:rsidRDefault="00C570E3" w:rsidP="00C570E3">
      <w:pPr>
        <w:rPr>
          <w:rFonts w:cstheme="minorHAnsi"/>
          <w:b/>
          <w:color w:val="auto"/>
          <w:lang w:val="en-IE"/>
        </w:rPr>
      </w:pPr>
      <w:r w:rsidRPr="00400BD5">
        <w:rPr>
          <w:rFonts w:cstheme="minorHAnsi"/>
          <w:b/>
          <w:color w:val="auto"/>
          <w:lang w:val="en-IE"/>
        </w:rPr>
        <w:t>Trinity College Dublin, the University of Dublin</w:t>
      </w:r>
    </w:p>
    <w:p w14:paraId="08CE6F91" w14:textId="77777777" w:rsidR="00C570E3" w:rsidRPr="00400BD5" w:rsidRDefault="00C570E3" w:rsidP="00C570E3">
      <w:pPr>
        <w:rPr>
          <w:rFonts w:cstheme="minorHAnsi"/>
          <w:color w:val="auto"/>
          <w:lang w:val="en-IE"/>
        </w:rPr>
      </w:pPr>
    </w:p>
    <w:p w14:paraId="4BD00431" w14:textId="77777777" w:rsidR="00C570E3" w:rsidRPr="00400BD5" w:rsidRDefault="00C570E3" w:rsidP="00C570E3">
      <w:pPr>
        <w:rPr>
          <w:rFonts w:cstheme="minorHAnsi"/>
          <w:color w:val="auto"/>
          <w:lang w:val="en-IE"/>
        </w:rPr>
      </w:pPr>
      <w:r w:rsidRPr="00400BD5">
        <w:rPr>
          <w:rFonts w:cstheme="minorHAnsi"/>
          <w:color w:val="auto"/>
          <w:lang w:val="en-IE"/>
        </w:rPr>
        <w:t xml:space="preserve">Trinity is Ireland’s leading university and is ranked 108th in the world (QS World University Rankings 2020). Founded in 1592, the University is steeped in history with a reputation for excellence in education, </w:t>
      </w:r>
      <w:proofErr w:type="gramStart"/>
      <w:r w:rsidRPr="00400BD5">
        <w:rPr>
          <w:rFonts w:cstheme="minorHAnsi"/>
          <w:color w:val="auto"/>
          <w:lang w:val="en-IE"/>
        </w:rPr>
        <w:t>research</w:t>
      </w:r>
      <w:proofErr w:type="gramEnd"/>
      <w:r w:rsidRPr="00400BD5">
        <w:rPr>
          <w:rFonts w:cstheme="minorHAnsi"/>
          <w:color w:val="auto"/>
          <w:lang w:val="en-IE"/>
        </w:rPr>
        <w:t xml:space="preserve"> and innovation.</w:t>
      </w:r>
    </w:p>
    <w:p w14:paraId="61CDCEAD" w14:textId="77777777" w:rsidR="00C570E3" w:rsidRPr="00400BD5" w:rsidRDefault="00C570E3" w:rsidP="00C570E3">
      <w:pPr>
        <w:rPr>
          <w:rFonts w:cstheme="minorHAnsi"/>
          <w:color w:val="auto"/>
          <w:lang w:val="en-IE"/>
        </w:rPr>
      </w:pPr>
    </w:p>
    <w:p w14:paraId="1B90B3D8" w14:textId="77777777" w:rsidR="00C570E3" w:rsidRPr="00400BD5" w:rsidRDefault="00C570E3" w:rsidP="00C570E3">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6BB9E253" w14:textId="77777777" w:rsidR="00C570E3" w:rsidRPr="00400BD5" w:rsidRDefault="00C570E3" w:rsidP="00C570E3">
      <w:pPr>
        <w:rPr>
          <w:rFonts w:cstheme="minorHAnsi"/>
          <w:color w:val="auto"/>
          <w:lang w:val="en-IE"/>
        </w:rPr>
      </w:pPr>
    </w:p>
    <w:p w14:paraId="513CF113" w14:textId="77777777" w:rsidR="00C570E3" w:rsidRPr="00400BD5" w:rsidRDefault="00C570E3" w:rsidP="00C570E3">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23DE523C" w14:textId="77777777" w:rsidR="00C570E3" w:rsidRPr="00400BD5" w:rsidRDefault="00C570E3" w:rsidP="00C570E3">
      <w:pPr>
        <w:rPr>
          <w:rFonts w:cstheme="minorHAnsi"/>
          <w:color w:val="auto"/>
          <w:lang w:val="en-IE"/>
        </w:rPr>
      </w:pPr>
    </w:p>
    <w:p w14:paraId="19EF4748" w14:textId="77777777" w:rsidR="00C570E3" w:rsidRPr="00400BD5" w:rsidRDefault="00C570E3" w:rsidP="00C570E3">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2"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4BD49065" w14:textId="77777777" w:rsidR="00C570E3" w:rsidRPr="00400BD5" w:rsidRDefault="00C570E3" w:rsidP="00C570E3">
      <w:pPr>
        <w:pStyle w:val="ListParagraph"/>
        <w:numPr>
          <w:ilvl w:val="0"/>
          <w:numId w:val="17"/>
        </w:numPr>
        <w:rPr>
          <w:rFonts w:cstheme="minorHAnsi"/>
          <w:color w:val="auto"/>
          <w:lang w:val="en-IE"/>
        </w:rPr>
      </w:pPr>
      <w:r w:rsidRPr="00400BD5">
        <w:rPr>
          <w:rFonts w:cstheme="minorHAnsi"/>
          <w:color w:val="auto"/>
          <w:lang w:val="en-IE"/>
        </w:rPr>
        <w:t>Trinity Biomedical Sciences Institute (TBSI)</w:t>
      </w:r>
    </w:p>
    <w:p w14:paraId="13B151C9" w14:textId="77777777" w:rsidR="00C570E3" w:rsidRPr="00400BD5" w:rsidRDefault="00C570E3" w:rsidP="00C570E3">
      <w:pPr>
        <w:pStyle w:val="ListParagraph"/>
        <w:numPr>
          <w:ilvl w:val="0"/>
          <w:numId w:val="17"/>
        </w:numPr>
        <w:rPr>
          <w:rFonts w:cstheme="minorHAnsi"/>
          <w:color w:val="auto"/>
          <w:lang w:val="en-IE"/>
        </w:rPr>
      </w:pPr>
      <w:r w:rsidRPr="00400BD5">
        <w:rPr>
          <w:rFonts w:cstheme="minorHAnsi"/>
          <w:color w:val="auto"/>
          <w:lang w:val="en-IE"/>
        </w:rPr>
        <w:t>Trinity College Institute of Neuroscience (TCIN)</w:t>
      </w:r>
    </w:p>
    <w:p w14:paraId="648AB4EB" w14:textId="77777777" w:rsidR="00C570E3" w:rsidRPr="00400BD5" w:rsidRDefault="00C570E3" w:rsidP="00C570E3">
      <w:pPr>
        <w:pStyle w:val="ListParagraph"/>
        <w:numPr>
          <w:ilvl w:val="0"/>
          <w:numId w:val="17"/>
        </w:numPr>
        <w:rPr>
          <w:rFonts w:cstheme="minorHAnsi"/>
          <w:color w:val="auto"/>
          <w:lang w:val="en-IE"/>
        </w:rPr>
      </w:pPr>
      <w:r w:rsidRPr="00400BD5">
        <w:rPr>
          <w:rFonts w:cstheme="minorHAnsi"/>
          <w:color w:val="auto"/>
          <w:lang w:val="en-IE"/>
        </w:rPr>
        <w:t>Trinity Translational Medical Institute (TTMI)</w:t>
      </w:r>
    </w:p>
    <w:p w14:paraId="16927442" w14:textId="77777777" w:rsidR="00C570E3" w:rsidRPr="00400BD5" w:rsidRDefault="00C570E3" w:rsidP="00C570E3">
      <w:pPr>
        <w:pStyle w:val="ListParagraph"/>
        <w:numPr>
          <w:ilvl w:val="0"/>
          <w:numId w:val="17"/>
        </w:numPr>
        <w:rPr>
          <w:rFonts w:cstheme="minorHAnsi"/>
          <w:color w:val="auto"/>
          <w:lang w:val="en-IE"/>
        </w:rPr>
      </w:pPr>
      <w:r w:rsidRPr="00400BD5">
        <w:rPr>
          <w:rFonts w:cstheme="minorHAnsi"/>
          <w:color w:val="auto"/>
          <w:lang w:val="en-IE"/>
        </w:rPr>
        <w:t>Trinity Long Room Hub Arts and Humanities Research Institute (TLRH)</w:t>
      </w:r>
    </w:p>
    <w:p w14:paraId="402146B9" w14:textId="77777777" w:rsidR="00C570E3" w:rsidRPr="00400BD5" w:rsidRDefault="00C570E3" w:rsidP="00C570E3">
      <w:pPr>
        <w:pStyle w:val="ListParagraph"/>
        <w:numPr>
          <w:ilvl w:val="0"/>
          <w:numId w:val="17"/>
        </w:numPr>
        <w:rPr>
          <w:rFonts w:cstheme="minorHAnsi"/>
          <w:color w:val="auto"/>
          <w:lang w:val="en-IE"/>
        </w:rPr>
      </w:pPr>
      <w:r w:rsidRPr="00400BD5">
        <w:rPr>
          <w:rFonts w:cstheme="minorHAnsi"/>
          <w:color w:val="auto"/>
          <w:lang w:val="en-IE"/>
        </w:rPr>
        <w:t>Centre for Research on Adaptive Nanostructures and Nanodevices (CRANN)</w:t>
      </w:r>
    </w:p>
    <w:p w14:paraId="52E56223" w14:textId="77777777" w:rsidR="00C570E3" w:rsidRPr="00400BD5" w:rsidRDefault="00C570E3" w:rsidP="00C570E3">
      <w:pPr>
        <w:rPr>
          <w:rFonts w:cstheme="minorHAnsi"/>
          <w:color w:val="auto"/>
          <w:lang w:val="en-IE"/>
        </w:rPr>
      </w:pPr>
    </w:p>
    <w:p w14:paraId="1AD937A8" w14:textId="77777777" w:rsidR="00C570E3" w:rsidRPr="00400BD5" w:rsidRDefault="00C570E3" w:rsidP="00C570E3">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139B9996" w14:textId="77777777" w:rsidR="00C570E3" w:rsidRPr="00400BD5" w:rsidRDefault="00C570E3" w:rsidP="00C570E3">
      <w:pPr>
        <w:rPr>
          <w:rFonts w:cstheme="minorHAnsi"/>
          <w:color w:val="auto"/>
          <w:lang w:val="en-IE"/>
        </w:rPr>
      </w:pPr>
      <w:r w:rsidRPr="00400BD5">
        <w:rPr>
          <w:rFonts w:cstheme="minorHAnsi"/>
          <w:color w:val="auto"/>
          <w:lang w:val="en-IE"/>
        </w:rPr>
        <w:t>(Pitchbook Universities Report).</w:t>
      </w:r>
    </w:p>
    <w:p w14:paraId="07547A01" w14:textId="77777777" w:rsidR="00C570E3" w:rsidRPr="00400BD5" w:rsidRDefault="00C570E3" w:rsidP="00C570E3">
      <w:pPr>
        <w:rPr>
          <w:rFonts w:cstheme="minorHAnsi"/>
          <w:color w:val="auto"/>
          <w:lang w:val="en-IE"/>
        </w:rPr>
      </w:pPr>
    </w:p>
    <w:p w14:paraId="23CF5874" w14:textId="77777777" w:rsidR="00C570E3" w:rsidRPr="00517CC3" w:rsidRDefault="00C570E3" w:rsidP="00C570E3">
      <w:pPr>
        <w:rPr>
          <w:rFonts w:cstheme="minorHAnsi"/>
          <w:color w:val="auto"/>
          <w:lang w:val="en-IE"/>
        </w:rPr>
      </w:pPr>
      <w:r w:rsidRPr="00517CC3">
        <w:rPr>
          <w:rFonts w:cstheme="minorHAnsi"/>
          <w:color w:val="auto"/>
          <w:lang w:val="en-IE"/>
        </w:rPr>
        <w:t xml:space="preserve">Trinity is home to the famous Old Library and to the historic Book of </w:t>
      </w:r>
      <w:proofErr w:type="spellStart"/>
      <w:r w:rsidRPr="00517CC3">
        <w:rPr>
          <w:rFonts w:cstheme="minorHAnsi"/>
          <w:color w:val="auto"/>
          <w:lang w:val="en-IE"/>
        </w:rPr>
        <w:t>Kells</w:t>
      </w:r>
      <w:proofErr w:type="spellEnd"/>
      <w:r w:rsidRPr="00517CC3">
        <w:rPr>
          <w:rFonts w:cstheme="minorHAnsi"/>
          <w:color w:val="auto"/>
          <w:lang w:val="en-IE"/>
        </w:rPr>
        <w:t xml:space="preserve"> as well as other internationally significant holdings in manuscripts, </w:t>
      </w:r>
      <w:proofErr w:type="gramStart"/>
      <w:r w:rsidRPr="00517CC3">
        <w:rPr>
          <w:rFonts w:cstheme="minorHAnsi"/>
          <w:color w:val="auto"/>
          <w:lang w:val="en-IE"/>
        </w:rPr>
        <w:t>maps</w:t>
      </w:r>
      <w:proofErr w:type="gramEnd"/>
      <w:r w:rsidRPr="00517CC3">
        <w:rPr>
          <w:rFonts w:cstheme="minorHAnsi"/>
          <w:color w:val="auto"/>
          <w:lang w:val="en-IE"/>
        </w:rPr>
        <w:t xml:space="preserve"> and early printed material. The Trinity Library is a legal deposit library, granting the University the right to claim a copy of every book published in Ireland and the UK. At present, the </w:t>
      </w:r>
      <w:proofErr w:type="gramStart"/>
      <w:r w:rsidRPr="00517CC3">
        <w:rPr>
          <w:rFonts w:cstheme="minorHAnsi"/>
          <w:color w:val="auto"/>
          <w:lang w:val="en-IE"/>
        </w:rPr>
        <w:t>Library’s</w:t>
      </w:r>
      <w:proofErr w:type="gramEnd"/>
      <w:r w:rsidRPr="00517CC3">
        <w:rPr>
          <w:rFonts w:cstheme="minorHAnsi"/>
          <w:color w:val="auto"/>
          <w:lang w:val="en-IE"/>
        </w:rPr>
        <w:t xml:space="preserve"> holdings span approximately 6.5 million printed items, 400,000 e-books and 150,000 e-journals.</w:t>
      </w:r>
    </w:p>
    <w:p w14:paraId="1C331B19" w14:textId="77777777" w:rsidR="00C570E3" w:rsidRDefault="00C570E3" w:rsidP="00C570E3">
      <w:pPr>
        <w:rPr>
          <w:rFonts w:cstheme="minorHAnsi"/>
          <w:color w:val="auto"/>
          <w:lang w:val="en-IE"/>
        </w:rPr>
      </w:pPr>
      <w:r w:rsidRPr="00517CC3">
        <w:rPr>
          <w:rFonts w:cstheme="minorHAnsi"/>
          <w:color w:val="auto"/>
          <w:lang w:val="en-IE"/>
        </w:rPr>
        <w:t xml:space="preserve">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w:t>
      </w:r>
      <w:proofErr w:type="gramStart"/>
      <w:r w:rsidRPr="00517CC3">
        <w:rPr>
          <w:rFonts w:cstheme="minorHAnsi"/>
          <w:color w:val="auto"/>
          <w:lang w:val="en-IE"/>
        </w:rPr>
        <w:t>entrepreneurship</w:t>
      </w:r>
      <w:proofErr w:type="gramEnd"/>
      <w:r w:rsidRPr="00517CC3">
        <w:rPr>
          <w:rFonts w:cstheme="minorHAnsi"/>
          <w:color w:val="auto"/>
          <w:lang w:val="en-IE"/>
        </w:rPr>
        <w:t xml:space="preserve"> and dedication to societal reform.</w:t>
      </w:r>
    </w:p>
    <w:p w14:paraId="5043CB0F" w14:textId="77777777" w:rsidR="00C570E3" w:rsidRPr="00400BD5" w:rsidRDefault="00C570E3" w:rsidP="00C570E3">
      <w:pPr>
        <w:rPr>
          <w:rFonts w:cstheme="minorHAnsi"/>
          <w:color w:val="auto"/>
          <w:lang w:val="en-IE"/>
        </w:rPr>
      </w:pPr>
    </w:p>
    <w:p w14:paraId="218863A9" w14:textId="77777777" w:rsidR="00C570E3" w:rsidRPr="00400BD5" w:rsidRDefault="00C570E3" w:rsidP="00C570E3">
      <w:pPr>
        <w:rPr>
          <w:rFonts w:cstheme="minorHAnsi"/>
          <w:color w:val="auto"/>
        </w:rPr>
      </w:pPr>
      <w:r w:rsidRPr="00400BD5">
        <w:rPr>
          <w:rFonts w:cstheme="minorHAnsi"/>
          <w:b/>
          <w:color w:val="auto"/>
        </w:rPr>
        <w:t>Rankings</w:t>
      </w:r>
    </w:p>
    <w:p w14:paraId="5C9F49F1" w14:textId="77777777" w:rsidR="00C570E3" w:rsidRPr="00400BD5" w:rsidRDefault="00C570E3" w:rsidP="00C570E3">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w:t>
      </w:r>
      <w:r>
        <w:rPr>
          <w:rFonts w:cstheme="minorHAnsi"/>
          <w:bCs/>
          <w:color w:val="auto"/>
        </w:rPr>
        <w:t>4</w:t>
      </w:r>
      <w:r w:rsidRPr="00400BD5">
        <w:rPr>
          <w:rFonts w:cstheme="minorHAnsi"/>
          <w:bCs/>
          <w:color w:val="auto"/>
        </w:rPr>
        <w:t xml:space="preserve"> subjects and in the top 100 in </w:t>
      </w:r>
      <w:r>
        <w:rPr>
          <w:rFonts w:cstheme="minorHAnsi"/>
          <w:bCs/>
          <w:color w:val="auto"/>
        </w:rPr>
        <w:t>18</w:t>
      </w:r>
      <w:r w:rsidRPr="00400BD5">
        <w:rPr>
          <w:rFonts w:cstheme="minorHAnsi"/>
          <w:bCs/>
          <w:color w:val="auto"/>
        </w:rPr>
        <w:t xml:space="preserve"> subjects </w:t>
      </w:r>
      <w:r w:rsidRPr="00400BD5">
        <w:rPr>
          <w:rFonts w:cstheme="minorHAnsi"/>
          <w:bCs/>
          <w:color w:val="auto"/>
          <w:lang w:val="en-IE"/>
        </w:rPr>
        <w:t>(</w:t>
      </w:r>
      <w:r w:rsidRPr="00400BD5">
        <w:rPr>
          <w:rFonts w:cstheme="minorHAnsi"/>
          <w:bCs/>
          <w:color w:val="auto"/>
        </w:rPr>
        <w:t>QS World University Rankings by Subject 20</w:t>
      </w:r>
      <w:r w:rsidR="009810CE">
        <w:rPr>
          <w:rFonts w:cstheme="minorHAnsi"/>
          <w:bCs/>
          <w:color w:val="auto"/>
        </w:rPr>
        <w:t>20</w:t>
      </w:r>
      <w:r w:rsidRPr="00400BD5">
        <w:rPr>
          <w:rFonts w:cstheme="minorHAnsi"/>
          <w:bCs/>
          <w:color w:val="auto"/>
        </w:rPr>
        <w:t xml:space="preserve">). </w:t>
      </w:r>
      <w:r w:rsidRPr="00400BD5">
        <w:rPr>
          <w:rFonts w:cstheme="minorHAnsi"/>
          <w:color w:val="auto"/>
          <w:lang w:val="en-IE"/>
        </w:rPr>
        <w:t xml:space="preserve">Full details are available at: </w:t>
      </w:r>
      <w:hyperlink r:id="rId13"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07459315" w14:textId="77777777" w:rsidR="00751F03" w:rsidRPr="00400BD5" w:rsidRDefault="00751F03" w:rsidP="00751F03">
      <w:pPr>
        <w:spacing w:after="200"/>
        <w:rPr>
          <w:rFonts w:cstheme="minorHAnsi"/>
          <w:color w:val="auto"/>
        </w:rPr>
      </w:pPr>
    </w:p>
    <w:p w14:paraId="6537F28F" w14:textId="77777777" w:rsidR="00751F03" w:rsidRPr="00400BD5" w:rsidRDefault="00751F03" w:rsidP="00751F03">
      <w:pPr>
        <w:spacing w:after="200"/>
        <w:rPr>
          <w:rFonts w:cstheme="minorHAnsi"/>
          <w:color w:val="auto"/>
        </w:rPr>
      </w:pPr>
    </w:p>
    <w:p w14:paraId="6DFB9E20" w14:textId="77777777" w:rsidR="00751F03" w:rsidRPr="00400BD5" w:rsidRDefault="00751F03" w:rsidP="00751F03">
      <w:pPr>
        <w:spacing w:after="200"/>
        <w:rPr>
          <w:rFonts w:cstheme="minorHAnsi"/>
          <w:b/>
          <w:color w:val="auto"/>
        </w:rPr>
      </w:pPr>
      <w:r w:rsidRPr="00400BD5">
        <w:rPr>
          <w:rFonts w:cstheme="minorHAnsi"/>
          <w:b/>
          <w:color w:val="auto"/>
        </w:rPr>
        <w:br w:type="page"/>
      </w:r>
    </w:p>
    <w:p w14:paraId="104DA78B" w14:textId="77777777" w:rsidR="00751F03" w:rsidRPr="00400BD5" w:rsidRDefault="00751F03" w:rsidP="00751F03">
      <w:pPr>
        <w:rPr>
          <w:rFonts w:cstheme="minorHAnsi"/>
          <w:b/>
          <w:color w:val="auto"/>
        </w:rPr>
      </w:pPr>
      <w:r w:rsidRPr="00400BD5">
        <w:rPr>
          <w:rFonts w:cstheme="minorHAnsi"/>
          <w:b/>
          <w:color w:val="auto"/>
        </w:rPr>
        <w:t>The Selection Process in Trinity</w:t>
      </w:r>
    </w:p>
    <w:p w14:paraId="70DF9E56" w14:textId="77777777" w:rsidR="00751F03" w:rsidRPr="00400BD5" w:rsidRDefault="00751F03" w:rsidP="00751F03">
      <w:pPr>
        <w:rPr>
          <w:rFonts w:cstheme="minorHAnsi"/>
          <w:color w:val="auto"/>
        </w:rPr>
      </w:pPr>
    </w:p>
    <w:p w14:paraId="52E856F2" w14:textId="77777777" w:rsidR="00751F03" w:rsidRPr="00400BD5" w:rsidRDefault="00751F03" w:rsidP="00751F03">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44E871BC" w14:textId="77777777" w:rsidR="00751F03" w:rsidRPr="00400BD5" w:rsidRDefault="00751F03" w:rsidP="00751F03">
      <w:pPr>
        <w:rPr>
          <w:rFonts w:cstheme="minorHAnsi"/>
          <w:color w:val="auto"/>
        </w:rPr>
      </w:pPr>
    </w:p>
    <w:p w14:paraId="54A92946" w14:textId="77777777" w:rsidR="00751F03" w:rsidRPr="00400BD5" w:rsidRDefault="00751F03" w:rsidP="00751F03">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w:t>
      </w:r>
      <w:proofErr w:type="gramStart"/>
      <w:r w:rsidRPr="00400BD5">
        <w:rPr>
          <w:rFonts w:cstheme="minorHAnsi"/>
          <w:color w:val="auto"/>
          <w:lang w:val="en-IE"/>
        </w:rPr>
        <w:t>in a position</w:t>
      </w:r>
      <w:proofErr w:type="gramEnd"/>
      <w:r w:rsidRPr="00400BD5">
        <w:rPr>
          <w:rFonts w:cstheme="minorHAnsi"/>
          <w:color w:val="auto"/>
          <w:lang w:val="en-IE"/>
        </w:rPr>
        <w:t xml:space="preserve"> to offer alternate selection dates.  Where candidates are unavailable, reserves may be drawn from a shortlist. Outcomes of interviews are notified in writing to candidates and are issued no later than 5 working days following the selection day.  </w:t>
      </w:r>
    </w:p>
    <w:p w14:paraId="144A5D23" w14:textId="77777777" w:rsidR="00751F03" w:rsidRPr="00400BD5" w:rsidRDefault="00751F03" w:rsidP="00751F03">
      <w:pPr>
        <w:rPr>
          <w:rFonts w:cstheme="minorHAnsi"/>
          <w:color w:val="auto"/>
          <w:lang w:val="en-IE"/>
        </w:rPr>
      </w:pPr>
    </w:p>
    <w:p w14:paraId="077CB600" w14:textId="77777777" w:rsidR="00751F03" w:rsidRPr="00400BD5" w:rsidRDefault="00751F03" w:rsidP="00751F03">
      <w:pPr>
        <w:rPr>
          <w:rFonts w:cstheme="minorHAnsi"/>
          <w:color w:val="auto"/>
          <w:lang w:val="en-IE"/>
        </w:rPr>
      </w:pPr>
      <w:r w:rsidRPr="00400BD5">
        <w:rPr>
          <w:rFonts w:cstheme="minorHAnsi"/>
          <w:color w:val="auto"/>
          <w:lang w:val="en-IE"/>
        </w:rPr>
        <w:t xml:space="preserve">In some </w:t>
      </w:r>
      <w:proofErr w:type="gramStart"/>
      <w:r w:rsidRPr="00400BD5">
        <w:rPr>
          <w:rFonts w:cstheme="minorHAnsi"/>
          <w:color w:val="auto"/>
          <w:lang w:val="en-IE"/>
        </w:rPr>
        <w:t>instances</w:t>
      </w:r>
      <w:proofErr w:type="gramEnd"/>
      <w:r w:rsidRPr="00400BD5">
        <w:rPr>
          <w:rFonts w:cstheme="minorHAnsi"/>
          <w:color w:val="auto"/>
          <w:lang w:val="en-IE"/>
        </w:rPr>
        <w:t xml:space="preserve"> the Selection Committee may avail of telephone or video conferencing. The University’s selection methods may consist of any or </w:t>
      </w:r>
      <w:proofErr w:type="gramStart"/>
      <w:r w:rsidRPr="00400BD5">
        <w:rPr>
          <w:rFonts w:cstheme="minorHAnsi"/>
          <w:color w:val="auto"/>
          <w:lang w:val="en-IE"/>
        </w:rPr>
        <w:t>all of</w:t>
      </w:r>
      <w:proofErr w:type="gramEnd"/>
      <w:r w:rsidRPr="00400BD5">
        <w:rPr>
          <w:rFonts w:cstheme="minorHAnsi"/>
          <w:color w:val="auto"/>
          <w:lang w:val="en-IE"/>
        </w:rPr>
        <w:t xml:space="preserve"> the following: Interviews, Presentations, Psychometric Testing, References and Situational Exercises.</w:t>
      </w:r>
    </w:p>
    <w:p w14:paraId="738610EB" w14:textId="77777777" w:rsidR="00751F03" w:rsidRPr="00400BD5" w:rsidRDefault="00751F03" w:rsidP="00751F03">
      <w:pPr>
        <w:rPr>
          <w:rFonts w:cstheme="minorHAnsi"/>
          <w:color w:val="auto"/>
          <w:lang w:val="en-IE"/>
        </w:rPr>
      </w:pPr>
    </w:p>
    <w:p w14:paraId="3F17D960" w14:textId="77777777" w:rsidR="00751F03" w:rsidRPr="00400BD5" w:rsidRDefault="00751F03" w:rsidP="00751F03">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637805D2" w14:textId="77777777" w:rsidR="00751F03" w:rsidRPr="00400BD5" w:rsidRDefault="00751F03" w:rsidP="00751F03">
      <w:pPr>
        <w:rPr>
          <w:rFonts w:cstheme="minorHAnsi"/>
          <w:color w:val="auto"/>
        </w:rPr>
      </w:pPr>
    </w:p>
    <w:p w14:paraId="0296EC9C" w14:textId="77777777" w:rsidR="00751F03" w:rsidRPr="00400BD5" w:rsidRDefault="00751F03" w:rsidP="00751F03">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14"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15"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463F29E8"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71F3BEC1" w14:textId="77777777" w:rsidR="00751F03" w:rsidRPr="00400BD5" w:rsidRDefault="00751F03" w:rsidP="00751F03">
      <w:pPr>
        <w:rPr>
          <w:rFonts w:cstheme="minorHAnsi"/>
          <w:b/>
          <w:color w:val="auto"/>
          <w:lang w:val="en-IE"/>
        </w:rPr>
      </w:pPr>
      <w:r w:rsidRPr="00400BD5">
        <w:rPr>
          <w:rFonts w:cstheme="minorHAnsi"/>
          <w:b/>
          <w:color w:val="auto"/>
          <w:lang w:val="en-IE"/>
        </w:rPr>
        <w:t>Equal Opportunities Policy</w:t>
      </w:r>
    </w:p>
    <w:p w14:paraId="3B7B4B86" w14:textId="77777777" w:rsidR="00751F03" w:rsidRPr="00400BD5" w:rsidRDefault="00751F03" w:rsidP="00751F03">
      <w:pPr>
        <w:rPr>
          <w:rFonts w:cstheme="minorHAnsi"/>
          <w:color w:val="auto"/>
          <w:lang w:val="en-IE"/>
        </w:rPr>
      </w:pPr>
    </w:p>
    <w:p w14:paraId="1D0DCE9C" w14:textId="77777777" w:rsidR="00751F03" w:rsidRPr="00400BD5" w:rsidRDefault="00751F03" w:rsidP="00751F03">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w:t>
      </w:r>
      <w:proofErr w:type="gramStart"/>
      <w:r w:rsidRPr="00400BD5">
        <w:rPr>
          <w:rFonts w:cstheme="minorHAnsi"/>
          <w:color w:val="auto"/>
          <w:lang w:val="en-IE"/>
        </w:rPr>
        <w:t>orientation</w:t>
      </w:r>
      <w:proofErr w:type="gramEnd"/>
      <w:r w:rsidRPr="00400BD5">
        <w:rPr>
          <w:rFonts w:cstheme="minorHAnsi"/>
          <w:color w:val="auto"/>
          <w:lang w:val="en-IE"/>
        </w:rPr>
        <w:t xml:space="preserve"> or membership of the travelling community. On that basis we encourage and welcome talented people from all backgrounds to join our staff community. Trinity’s Diversity Statement can be viewed in full at </w:t>
      </w:r>
      <w:hyperlink r:id="rId16"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39B6B1D1" w14:textId="77777777" w:rsidR="00751F03" w:rsidRPr="00400BD5" w:rsidRDefault="00751F03" w:rsidP="00751F03">
      <w:pPr>
        <w:rPr>
          <w:rFonts w:cstheme="minorHAnsi"/>
          <w:color w:val="auto"/>
          <w:lang w:val="en-IE"/>
        </w:rPr>
      </w:pPr>
      <w:r w:rsidRPr="00400BD5">
        <w:rPr>
          <w:rFonts w:cstheme="minorHAnsi"/>
          <w:color w:val="auto"/>
          <w:lang w:val="en-IE"/>
        </w:rPr>
        <w:t xml:space="preserve">    </w:t>
      </w:r>
    </w:p>
    <w:p w14:paraId="67A77A90" w14:textId="77777777" w:rsidR="00751F03" w:rsidRPr="00400BD5" w:rsidRDefault="00751F03" w:rsidP="00751F03">
      <w:pPr>
        <w:rPr>
          <w:rFonts w:cstheme="minorHAnsi"/>
          <w:color w:val="auto"/>
        </w:rPr>
      </w:pPr>
      <w:r w:rsidRPr="00400BD5">
        <w:rPr>
          <w:rFonts w:cstheme="minorHAnsi"/>
          <w:b/>
          <w:color w:val="auto"/>
        </w:rPr>
        <w:t>Pension Entitlements</w:t>
      </w:r>
      <w:r w:rsidRPr="00400BD5">
        <w:rPr>
          <w:rFonts w:cstheme="minorHAnsi"/>
          <w:b/>
          <w:color w:val="auto"/>
        </w:rPr>
        <w:br/>
      </w:r>
    </w:p>
    <w:p w14:paraId="0FFD9C74" w14:textId="77777777" w:rsidR="00751F03" w:rsidRPr="00400BD5" w:rsidRDefault="00751F03" w:rsidP="00751F03">
      <w:pPr>
        <w:rPr>
          <w:rFonts w:cstheme="minorHAnsi"/>
          <w:color w:val="auto"/>
        </w:rPr>
      </w:pPr>
      <w:r w:rsidRPr="00400BD5">
        <w:rPr>
          <w:rFonts w:cstheme="minorHAnsi"/>
          <w:color w:val="auto"/>
        </w:rPr>
        <w:t xml:space="preserve">This is a pensionable </w:t>
      </w:r>
      <w:proofErr w:type="gramStart"/>
      <w:r w:rsidRPr="00400BD5">
        <w:rPr>
          <w:rFonts w:cstheme="minorHAnsi"/>
          <w:color w:val="auto"/>
        </w:rPr>
        <w:t>position</w:t>
      </w:r>
      <w:proofErr w:type="gramEnd"/>
      <w:r w:rsidRPr="00400BD5">
        <w:rPr>
          <w:rFonts w:cstheme="minorHAnsi"/>
          <w:color w:val="auto"/>
        </w:rPr>
        <w:t xml:space="preserve"> and the provisions of the Public Service Superannuation (Miscellaneous Provisions) Act 2004 will apply in relation to retirement age for pension purposes.  Details of the relevant Pension Scheme will be provided to the successful applicant.</w:t>
      </w:r>
    </w:p>
    <w:p w14:paraId="3A0FF5F2" w14:textId="77777777" w:rsidR="00751F03" w:rsidRPr="00400BD5" w:rsidRDefault="00751F03" w:rsidP="00751F03">
      <w:pPr>
        <w:rPr>
          <w:rFonts w:cstheme="minorHAnsi"/>
          <w:color w:val="auto"/>
        </w:rPr>
      </w:pPr>
    </w:p>
    <w:p w14:paraId="720FA8B7" w14:textId="77777777" w:rsidR="00751F03" w:rsidRPr="00400BD5" w:rsidRDefault="00751F03" w:rsidP="00751F03">
      <w:pPr>
        <w:rPr>
          <w:rFonts w:cstheme="minorHAnsi"/>
          <w:color w:val="auto"/>
        </w:rPr>
      </w:pPr>
      <w:r w:rsidRPr="00400BD5">
        <w:rPr>
          <w:rFonts w:cstheme="minorHAnsi"/>
          <w:color w:val="auto"/>
        </w:rPr>
        <w:t xml:space="preserve">Applicants should note that they will be required to complete a Pre-Employment Declaration to confirm </w:t>
      </w:r>
      <w:proofErr w:type="gramStart"/>
      <w:r w:rsidRPr="00400BD5">
        <w:rPr>
          <w:rFonts w:cstheme="minorHAnsi"/>
          <w:color w:val="auto"/>
        </w:rPr>
        <w:t>whether or not</w:t>
      </w:r>
      <w:proofErr w:type="gramEnd"/>
      <w:r w:rsidRPr="00400BD5">
        <w:rPr>
          <w:rFonts w:cstheme="minorHAnsi"/>
          <w:color w:val="auto"/>
        </w:rPr>
        <w:t xml:space="preserve">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5630AD66" w14:textId="77777777" w:rsidR="00751F03" w:rsidRPr="00400BD5" w:rsidRDefault="00751F03" w:rsidP="00751F03">
      <w:pPr>
        <w:rPr>
          <w:rFonts w:cstheme="minorHAnsi"/>
          <w:color w:val="auto"/>
        </w:rPr>
      </w:pPr>
    </w:p>
    <w:p w14:paraId="104767DC" w14:textId="77777777" w:rsidR="00751F03" w:rsidRPr="00400BD5" w:rsidRDefault="00751F03" w:rsidP="00751F03">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61829076"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2BA226A1" w14:textId="77777777" w:rsidR="00751F03" w:rsidRPr="00400BD5" w:rsidRDefault="00751F03" w:rsidP="00751F03">
      <w:pPr>
        <w:rPr>
          <w:rFonts w:cstheme="minorHAnsi"/>
          <w:color w:val="auto"/>
          <w:lang w:val="en-IE"/>
        </w:rPr>
      </w:pPr>
    </w:p>
    <w:p w14:paraId="17AD93B2" w14:textId="77777777" w:rsidR="00751F03" w:rsidRPr="00400BD5" w:rsidRDefault="00751F03" w:rsidP="00751F03">
      <w:pPr>
        <w:spacing w:after="200"/>
        <w:rPr>
          <w:rFonts w:cstheme="minorHAnsi"/>
          <w:color w:val="auto"/>
          <w:sz w:val="22"/>
        </w:rPr>
      </w:pPr>
      <w:r w:rsidRPr="00400BD5">
        <w:rPr>
          <w:rFonts w:cstheme="minorHAnsi"/>
          <w:color w:val="auto"/>
          <w:sz w:val="22"/>
        </w:rPr>
        <w:br w:type="page"/>
      </w:r>
    </w:p>
    <w:p w14:paraId="0DE4B5B7" w14:textId="77777777" w:rsidR="00EC3EAC" w:rsidRPr="00A519F4" w:rsidRDefault="00EC3EAC" w:rsidP="00A5441F">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14E26320" w14:textId="77777777" w:rsidR="00A5441F" w:rsidRPr="00A519F4" w:rsidRDefault="00A5441F" w:rsidP="00A5441F">
      <w:pPr>
        <w:rPr>
          <w:b/>
          <w:color w:val="000000" w:themeColor="text1"/>
          <w:lang w:val="en-IE"/>
        </w:rPr>
      </w:pPr>
      <w:r w:rsidRPr="00A519F4">
        <w:rPr>
          <w:b/>
          <w:color w:val="000000" w:themeColor="text1"/>
          <w:lang w:val="en-IE"/>
        </w:rPr>
        <w:t>Application Procedure</w:t>
      </w:r>
    </w:p>
    <w:p w14:paraId="66204FF1" w14:textId="77777777" w:rsidR="00A5441F" w:rsidRPr="00A519F4" w:rsidRDefault="00A5441F" w:rsidP="00A5441F">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2DBF0D7D" w14:textId="77777777" w:rsidR="00A5441F" w:rsidRPr="00A519F4" w:rsidRDefault="00A5441F" w:rsidP="00A5441F">
      <w:pPr>
        <w:pBdr>
          <w:top w:val="single" w:sz="4" w:space="1" w:color="auto"/>
          <w:left w:val="single" w:sz="4" w:space="4" w:color="auto"/>
          <w:bottom w:val="single" w:sz="4" w:space="1" w:color="auto"/>
          <w:right w:val="single" w:sz="4" w:space="4" w:color="auto"/>
        </w:pBdr>
        <w:shd w:val="clear" w:color="auto" w:fill="E0E0E0"/>
        <w:contextualSpacing/>
        <w:rPr>
          <w:rFonts w:cs="Arial"/>
          <w:b/>
          <w:bCs/>
          <w:color w:val="000000" w:themeColor="text1"/>
          <w:u w:val="single"/>
          <w:lang w:val="en-IE"/>
        </w:rPr>
      </w:pPr>
    </w:p>
    <w:p w14:paraId="50BFD2FD" w14:textId="77777777" w:rsidR="00041E49" w:rsidRP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41E49">
        <w:rPr>
          <w:rFonts w:cs="Arial"/>
          <w:b/>
          <w:bCs/>
          <w:color w:val="auto"/>
          <w:lang w:val="en-IE"/>
        </w:rPr>
        <w:t>Application Procedure</w:t>
      </w:r>
    </w:p>
    <w:p w14:paraId="6B62F1B3" w14:textId="77777777" w:rsidR="00FF65CC" w:rsidRDefault="00FF65CC"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p>
    <w:p w14:paraId="321BC91E" w14:textId="7A0E89BC" w:rsid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41E49">
        <w:rPr>
          <w:rFonts w:cs="Arial"/>
          <w:bCs/>
          <w:color w:val="auto"/>
          <w:lang w:val="en-IE"/>
        </w:rPr>
        <w:t xml:space="preserve">Applicants should submit a full Curriculum </w:t>
      </w:r>
      <w:r w:rsidRPr="00041E49">
        <w:rPr>
          <w:rFonts w:cs="Arial"/>
          <w:bCs/>
          <w:color w:val="auto"/>
        </w:rPr>
        <w:t>Vitae</w:t>
      </w:r>
      <w:r w:rsidRPr="00041E49">
        <w:rPr>
          <w:rFonts w:cs="Arial"/>
          <w:bCs/>
          <w:color w:val="auto"/>
          <w:lang w:val="en-IE"/>
        </w:rPr>
        <w:t xml:space="preserve"> to include the names and contact details of 2 referees (including email addresses), to:</w:t>
      </w:r>
    </w:p>
    <w:p w14:paraId="0D909AED" w14:textId="559568A3" w:rsidR="000F3E43" w:rsidRPr="000F3E43" w:rsidRDefault="004239A4"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Pr>
          <w:rFonts w:cs="Arial"/>
          <w:b/>
          <w:bCs/>
          <w:color w:val="auto"/>
          <w:lang w:val="en-IE"/>
        </w:rPr>
        <w:t>Sheena Cleary</w:t>
      </w:r>
    </w:p>
    <w:p w14:paraId="6688DE13" w14:textId="6C765A83" w:rsidR="000F3E43" w:rsidRPr="000F3E43" w:rsidRDefault="004239A4"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Pr>
          <w:rFonts w:cs="Arial"/>
          <w:b/>
          <w:bCs/>
          <w:color w:val="auto"/>
          <w:lang w:val="en-IE"/>
        </w:rPr>
        <w:t>hsmsec@tcd.ie</w:t>
      </w:r>
    </w:p>
    <w:p w14:paraId="02F2C34E" w14:textId="77777777" w:rsidR="00454FFB" w:rsidRDefault="00454FFB"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p>
    <w:p w14:paraId="680A4E5D" w14:textId="77777777" w:rsidR="00FF65CC" w:rsidRPr="00454FFB" w:rsidRDefault="00FF65CC"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p>
    <w:p w14:paraId="19219836" w14:textId="77777777" w:rsidR="00771180" w:rsidRDefault="00771180" w:rsidP="00597272">
      <w:pPr>
        <w:rPr>
          <w:color w:val="000000" w:themeColor="text1"/>
          <w:sz w:val="22"/>
        </w:rPr>
      </w:pPr>
    </w:p>
    <w:p w14:paraId="296FEF7D" w14:textId="77777777" w:rsidR="008C77DE" w:rsidRPr="00A519F4" w:rsidRDefault="008C77DE" w:rsidP="008E54D9">
      <w:pPr>
        <w:jc w:val="center"/>
        <w:rPr>
          <w:color w:val="000000" w:themeColor="text1"/>
          <w:sz w:val="22"/>
        </w:rPr>
      </w:pPr>
      <w:r>
        <w:rPr>
          <w:noProof/>
          <w:lang w:val="en-IE" w:eastAsia="en-IE"/>
        </w:rPr>
        <w:drawing>
          <wp:inline distT="0" distB="0" distL="0" distR="0" wp14:anchorId="48A41E14" wp14:editId="5E0D4BDC">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sectPr w:rsidR="008C77DE" w:rsidRPr="00A519F4" w:rsidSect="005F3E29">
      <w:type w:val="continuous"/>
      <w:pgSz w:w="11906" w:h="16838"/>
      <w:pgMar w:top="1440" w:right="1274" w:bottom="993" w:left="1440" w:header="708" w:footer="2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67CA" w14:textId="77777777" w:rsidR="00F94B74" w:rsidRDefault="00F94B74" w:rsidP="009D27B0">
      <w:pPr>
        <w:spacing w:line="240" w:lineRule="auto"/>
      </w:pPr>
      <w:r>
        <w:separator/>
      </w:r>
    </w:p>
  </w:endnote>
  <w:endnote w:type="continuationSeparator" w:id="0">
    <w:p w14:paraId="5F9102EC" w14:textId="77777777" w:rsidR="00F94B74" w:rsidRDefault="00F94B74" w:rsidP="009D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34156"/>
      <w:docPartObj>
        <w:docPartGallery w:val="Page Numbers (Bottom of Page)"/>
        <w:docPartUnique/>
      </w:docPartObj>
    </w:sdtPr>
    <w:sdtEndPr>
      <w:rPr>
        <w:noProof/>
      </w:rPr>
    </w:sdtEndPr>
    <w:sdtContent>
      <w:p w14:paraId="4FBF0734" w14:textId="77777777" w:rsidR="00751F03" w:rsidRDefault="00751F03">
        <w:pPr>
          <w:pStyle w:val="Footer"/>
          <w:jc w:val="center"/>
        </w:pPr>
        <w:r>
          <w:fldChar w:fldCharType="begin"/>
        </w:r>
        <w:r>
          <w:instrText xml:space="preserve"> PAGE   \* MERGEFORMAT </w:instrText>
        </w:r>
        <w:r>
          <w:fldChar w:fldCharType="separate"/>
        </w:r>
        <w:r w:rsidR="00762CE2">
          <w:rPr>
            <w:noProof/>
          </w:rPr>
          <w:t>11</w:t>
        </w:r>
        <w:r>
          <w:rPr>
            <w:noProof/>
          </w:rPr>
          <w:fldChar w:fldCharType="end"/>
        </w:r>
      </w:p>
    </w:sdtContent>
  </w:sdt>
  <w:p w14:paraId="30D7AA69" w14:textId="77777777" w:rsidR="009D27B0" w:rsidRDefault="009D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CABB" w14:textId="77777777" w:rsidR="00F94B74" w:rsidRDefault="00F94B74" w:rsidP="009D27B0">
      <w:pPr>
        <w:spacing w:line="240" w:lineRule="auto"/>
      </w:pPr>
      <w:r>
        <w:separator/>
      </w:r>
    </w:p>
  </w:footnote>
  <w:footnote w:type="continuationSeparator" w:id="0">
    <w:p w14:paraId="1A18F868" w14:textId="77777777" w:rsidR="00F94B74" w:rsidRDefault="00F94B74" w:rsidP="009D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77777777" w:rsidR="0087685C" w:rsidRDefault="005423E3" w:rsidP="0087685C">
    <w:pPr>
      <w:pStyle w:val="Header"/>
      <w:ind w:left="-1134"/>
    </w:pPr>
    <w:r w:rsidRPr="005423E3">
      <w:rPr>
        <w:noProof/>
        <w:lang w:val="en-IE" w:eastAsia="en-IE"/>
      </w:rPr>
      <w:drawing>
        <wp:inline distT="0" distB="0" distL="0" distR="0" wp14:anchorId="65C03D21" wp14:editId="07777777">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3535"/>
    <w:multiLevelType w:val="hybridMultilevel"/>
    <w:tmpl w:val="E88AB1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103CD"/>
    <w:multiLevelType w:val="hybridMultilevel"/>
    <w:tmpl w:val="06984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CC7AED"/>
    <w:multiLevelType w:val="hybridMultilevel"/>
    <w:tmpl w:val="314A3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2537FF"/>
    <w:multiLevelType w:val="hybridMultilevel"/>
    <w:tmpl w:val="DC044906"/>
    <w:lvl w:ilvl="0" w:tplc="AFCEEC12">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474763"/>
    <w:multiLevelType w:val="hybridMultilevel"/>
    <w:tmpl w:val="62D4E8A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8D7439"/>
    <w:multiLevelType w:val="hybridMultilevel"/>
    <w:tmpl w:val="F23EBB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C276EFE"/>
    <w:multiLevelType w:val="hybridMultilevel"/>
    <w:tmpl w:val="8562863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832C99"/>
    <w:multiLevelType w:val="hybridMultilevel"/>
    <w:tmpl w:val="2564F7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8" w15:restartNumberingAfterBreak="0">
    <w:nsid w:val="4B7B7BE0"/>
    <w:multiLevelType w:val="hybridMultilevel"/>
    <w:tmpl w:val="B6BE326C"/>
    <w:lvl w:ilvl="0" w:tplc="CDEE98CE">
      <w:start w:val="1"/>
      <w:numFmt w:val="decimal"/>
      <w:lvlText w:val="%1."/>
      <w:lvlJc w:val="left"/>
      <w:pPr>
        <w:ind w:left="363" w:hanging="360"/>
      </w:pPr>
      <w:rPr>
        <w:rFonts w:ascii="Arial" w:eastAsia="Times New Roman" w:hAnsi="Arial" w:cs="Arial"/>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9"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5F1C044A"/>
    <w:multiLevelType w:val="hybridMultilevel"/>
    <w:tmpl w:val="726E81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53F7639"/>
    <w:multiLevelType w:val="hybridMultilevel"/>
    <w:tmpl w:val="6FF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A1609"/>
    <w:multiLevelType w:val="hybridMultilevel"/>
    <w:tmpl w:val="B5424292"/>
    <w:lvl w:ilvl="0" w:tplc="782474F0">
      <w:start w:val="2"/>
      <w:numFmt w:val="bullet"/>
      <w:lvlText w:val="-"/>
      <w:lvlJc w:val="left"/>
      <w:pPr>
        <w:ind w:left="420" w:hanging="360"/>
      </w:pPr>
      <w:rPr>
        <w:rFonts w:ascii="Calibri" w:eastAsiaTheme="minorEastAsia"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3" w15:restartNumberingAfterBreak="0">
    <w:nsid w:val="77DD2638"/>
    <w:multiLevelType w:val="hybridMultilevel"/>
    <w:tmpl w:val="6D6C5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C21B83"/>
    <w:multiLevelType w:val="hybridMultilevel"/>
    <w:tmpl w:val="391C66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13"/>
  </w:num>
  <w:num w:numId="5">
    <w:abstractNumId w:val="2"/>
  </w:num>
  <w:num w:numId="6">
    <w:abstractNumId w:val="4"/>
  </w:num>
  <w:num w:numId="7">
    <w:abstractNumId w:val="5"/>
  </w:num>
  <w:num w:numId="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8"/>
  </w:num>
  <w:num w:numId="14">
    <w:abstractNumId w:val="11"/>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C9"/>
    <w:rsid w:val="00001089"/>
    <w:rsid w:val="000049DD"/>
    <w:rsid w:val="00024091"/>
    <w:rsid w:val="00041E49"/>
    <w:rsid w:val="00044946"/>
    <w:rsid w:val="00047AF2"/>
    <w:rsid w:val="00055696"/>
    <w:rsid w:val="00071C3A"/>
    <w:rsid w:val="00077FB8"/>
    <w:rsid w:val="000A7067"/>
    <w:rsid w:val="000B30A5"/>
    <w:rsid w:val="000B3FF7"/>
    <w:rsid w:val="000B432A"/>
    <w:rsid w:val="000D4E10"/>
    <w:rsid w:val="000F3E43"/>
    <w:rsid w:val="0010011D"/>
    <w:rsid w:val="00104DB1"/>
    <w:rsid w:val="001147DE"/>
    <w:rsid w:val="00116E3B"/>
    <w:rsid w:val="0012407E"/>
    <w:rsid w:val="001341B9"/>
    <w:rsid w:val="00135776"/>
    <w:rsid w:val="001563F6"/>
    <w:rsid w:val="00161DC6"/>
    <w:rsid w:val="001642B4"/>
    <w:rsid w:val="00190B67"/>
    <w:rsid w:val="001A0AF2"/>
    <w:rsid w:val="001A73C4"/>
    <w:rsid w:val="001A7893"/>
    <w:rsid w:val="001B4C2C"/>
    <w:rsid w:val="001B6513"/>
    <w:rsid w:val="001C3AF8"/>
    <w:rsid w:val="001C6A19"/>
    <w:rsid w:val="001D6868"/>
    <w:rsid w:val="001E5329"/>
    <w:rsid w:val="001F671F"/>
    <w:rsid w:val="002004C1"/>
    <w:rsid w:val="00206F2B"/>
    <w:rsid w:val="00220E56"/>
    <w:rsid w:val="0023021C"/>
    <w:rsid w:val="00235101"/>
    <w:rsid w:val="00245DF0"/>
    <w:rsid w:val="002567BA"/>
    <w:rsid w:val="00263D20"/>
    <w:rsid w:val="00282D26"/>
    <w:rsid w:val="0029195D"/>
    <w:rsid w:val="0029290C"/>
    <w:rsid w:val="002A61F0"/>
    <w:rsid w:val="002B0D33"/>
    <w:rsid w:val="002B1D11"/>
    <w:rsid w:val="002C714F"/>
    <w:rsid w:val="002C79DF"/>
    <w:rsid w:val="002E0CFE"/>
    <w:rsid w:val="00334BF8"/>
    <w:rsid w:val="00337C39"/>
    <w:rsid w:val="0035267F"/>
    <w:rsid w:val="00370C2B"/>
    <w:rsid w:val="0037341F"/>
    <w:rsid w:val="003759DE"/>
    <w:rsid w:val="003C598D"/>
    <w:rsid w:val="003D5EE0"/>
    <w:rsid w:val="003E0FC4"/>
    <w:rsid w:val="003F1831"/>
    <w:rsid w:val="00404338"/>
    <w:rsid w:val="0042250C"/>
    <w:rsid w:val="004239A4"/>
    <w:rsid w:val="0044241F"/>
    <w:rsid w:val="0044666D"/>
    <w:rsid w:val="00452952"/>
    <w:rsid w:val="004532CC"/>
    <w:rsid w:val="00454435"/>
    <w:rsid w:val="00454FFB"/>
    <w:rsid w:val="0045706A"/>
    <w:rsid w:val="004619AD"/>
    <w:rsid w:val="00466B76"/>
    <w:rsid w:val="00466BBE"/>
    <w:rsid w:val="00475D0E"/>
    <w:rsid w:val="00477583"/>
    <w:rsid w:val="004834C1"/>
    <w:rsid w:val="004964B4"/>
    <w:rsid w:val="00497F31"/>
    <w:rsid w:val="004A16E1"/>
    <w:rsid w:val="004A198E"/>
    <w:rsid w:val="004A6F17"/>
    <w:rsid w:val="004A7A12"/>
    <w:rsid w:val="004F3646"/>
    <w:rsid w:val="00500472"/>
    <w:rsid w:val="005027FE"/>
    <w:rsid w:val="005047AA"/>
    <w:rsid w:val="005331B9"/>
    <w:rsid w:val="00534B8F"/>
    <w:rsid w:val="005423E3"/>
    <w:rsid w:val="0054420A"/>
    <w:rsid w:val="005461B0"/>
    <w:rsid w:val="00546FC5"/>
    <w:rsid w:val="00555BE1"/>
    <w:rsid w:val="00555E5A"/>
    <w:rsid w:val="00583727"/>
    <w:rsid w:val="00594E54"/>
    <w:rsid w:val="00597272"/>
    <w:rsid w:val="005C131A"/>
    <w:rsid w:val="005C3938"/>
    <w:rsid w:val="005C3E61"/>
    <w:rsid w:val="005F23E9"/>
    <w:rsid w:val="005F3E29"/>
    <w:rsid w:val="006024C6"/>
    <w:rsid w:val="006037E5"/>
    <w:rsid w:val="00620D33"/>
    <w:rsid w:val="00634741"/>
    <w:rsid w:val="00645CF5"/>
    <w:rsid w:val="00647133"/>
    <w:rsid w:val="006970D0"/>
    <w:rsid w:val="006A66B7"/>
    <w:rsid w:val="006B2DA0"/>
    <w:rsid w:val="006E424B"/>
    <w:rsid w:val="00700564"/>
    <w:rsid w:val="0071171D"/>
    <w:rsid w:val="007212CD"/>
    <w:rsid w:val="00734E82"/>
    <w:rsid w:val="00751F03"/>
    <w:rsid w:val="0075764B"/>
    <w:rsid w:val="00762CE2"/>
    <w:rsid w:val="00771180"/>
    <w:rsid w:val="007719A0"/>
    <w:rsid w:val="007858A1"/>
    <w:rsid w:val="00797F33"/>
    <w:rsid w:val="007B6F40"/>
    <w:rsid w:val="007C2E8B"/>
    <w:rsid w:val="007C59C2"/>
    <w:rsid w:val="0080728A"/>
    <w:rsid w:val="008178BF"/>
    <w:rsid w:val="0083239C"/>
    <w:rsid w:val="008454DE"/>
    <w:rsid w:val="00851867"/>
    <w:rsid w:val="0087685C"/>
    <w:rsid w:val="00876A4F"/>
    <w:rsid w:val="008920A4"/>
    <w:rsid w:val="008B633D"/>
    <w:rsid w:val="008C12FB"/>
    <w:rsid w:val="008C473F"/>
    <w:rsid w:val="008C77DE"/>
    <w:rsid w:val="008E54D9"/>
    <w:rsid w:val="008F432E"/>
    <w:rsid w:val="008F596F"/>
    <w:rsid w:val="0090161D"/>
    <w:rsid w:val="00926276"/>
    <w:rsid w:val="00945F12"/>
    <w:rsid w:val="0094699A"/>
    <w:rsid w:val="00950615"/>
    <w:rsid w:val="00963822"/>
    <w:rsid w:val="0097522E"/>
    <w:rsid w:val="009810CE"/>
    <w:rsid w:val="009824DA"/>
    <w:rsid w:val="009A0051"/>
    <w:rsid w:val="009B50AE"/>
    <w:rsid w:val="009B6587"/>
    <w:rsid w:val="009C616E"/>
    <w:rsid w:val="009D27B0"/>
    <w:rsid w:val="009F1669"/>
    <w:rsid w:val="00A048F4"/>
    <w:rsid w:val="00A06C0F"/>
    <w:rsid w:val="00A131D2"/>
    <w:rsid w:val="00A13EC1"/>
    <w:rsid w:val="00A32B21"/>
    <w:rsid w:val="00A4466D"/>
    <w:rsid w:val="00A519F4"/>
    <w:rsid w:val="00A5441F"/>
    <w:rsid w:val="00A631F9"/>
    <w:rsid w:val="00AA1AD7"/>
    <w:rsid w:val="00AA2E72"/>
    <w:rsid w:val="00AA7D9E"/>
    <w:rsid w:val="00AC1903"/>
    <w:rsid w:val="00AC72E0"/>
    <w:rsid w:val="00AD47E4"/>
    <w:rsid w:val="00AF2E68"/>
    <w:rsid w:val="00B10D46"/>
    <w:rsid w:val="00B31A76"/>
    <w:rsid w:val="00B437DC"/>
    <w:rsid w:val="00B44C5F"/>
    <w:rsid w:val="00B54218"/>
    <w:rsid w:val="00B70570"/>
    <w:rsid w:val="00B80E32"/>
    <w:rsid w:val="00B84AF1"/>
    <w:rsid w:val="00B94E7B"/>
    <w:rsid w:val="00B95301"/>
    <w:rsid w:val="00BA2751"/>
    <w:rsid w:val="00BA6285"/>
    <w:rsid w:val="00BA7E36"/>
    <w:rsid w:val="00BB3C82"/>
    <w:rsid w:val="00BB5500"/>
    <w:rsid w:val="00BD0E15"/>
    <w:rsid w:val="00BD4DF3"/>
    <w:rsid w:val="00BD52EE"/>
    <w:rsid w:val="00BD7346"/>
    <w:rsid w:val="00BE4318"/>
    <w:rsid w:val="00C45656"/>
    <w:rsid w:val="00C570E3"/>
    <w:rsid w:val="00C64330"/>
    <w:rsid w:val="00C71C59"/>
    <w:rsid w:val="00C804FE"/>
    <w:rsid w:val="00C8792F"/>
    <w:rsid w:val="00CC77E4"/>
    <w:rsid w:val="00CD078F"/>
    <w:rsid w:val="00CD4BDC"/>
    <w:rsid w:val="00CD5D3A"/>
    <w:rsid w:val="00CD6C40"/>
    <w:rsid w:val="00CE3495"/>
    <w:rsid w:val="00CE53D3"/>
    <w:rsid w:val="00CF7B77"/>
    <w:rsid w:val="00D077C7"/>
    <w:rsid w:val="00D74AB1"/>
    <w:rsid w:val="00D74D6E"/>
    <w:rsid w:val="00D862C9"/>
    <w:rsid w:val="00DB1123"/>
    <w:rsid w:val="00DD199B"/>
    <w:rsid w:val="00DD1FD7"/>
    <w:rsid w:val="00DE4531"/>
    <w:rsid w:val="00DE6DC2"/>
    <w:rsid w:val="00E01580"/>
    <w:rsid w:val="00E036F3"/>
    <w:rsid w:val="00E07EF4"/>
    <w:rsid w:val="00E21047"/>
    <w:rsid w:val="00E47E5A"/>
    <w:rsid w:val="00E51C16"/>
    <w:rsid w:val="00E55EE2"/>
    <w:rsid w:val="00E90D5C"/>
    <w:rsid w:val="00E934D6"/>
    <w:rsid w:val="00E93B2D"/>
    <w:rsid w:val="00EA7551"/>
    <w:rsid w:val="00EC3EAC"/>
    <w:rsid w:val="00EE7FED"/>
    <w:rsid w:val="00F14059"/>
    <w:rsid w:val="00F2489C"/>
    <w:rsid w:val="00F41480"/>
    <w:rsid w:val="00F47EFE"/>
    <w:rsid w:val="00F61111"/>
    <w:rsid w:val="00F865E0"/>
    <w:rsid w:val="00F94B74"/>
    <w:rsid w:val="00FA4BD0"/>
    <w:rsid w:val="00FD0621"/>
    <w:rsid w:val="00FD2026"/>
    <w:rsid w:val="00FE14A5"/>
    <w:rsid w:val="00FF2EEE"/>
    <w:rsid w:val="00FF65CC"/>
    <w:rsid w:val="015DEB68"/>
    <w:rsid w:val="020364D6"/>
    <w:rsid w:val="053B0598"/>
    <w:rsid w:val="07A98309"/>
    <w:rsid w:val="17C79459"/>
    <w:rsid w:val="17CF26D5"/>
    <w:rsid w:val="196364BA"/>
    <w:rsid w:val="19D3CB81"/>
    <w:rsid w:val="23FE09F3"/>
    <w:rsid w:val="44AE96F3"/>
    <w:rsid w:val="46CA538E"/>
    <w:rsid w:val="4B88A9AB"/>
    <w:rsid w:val="528F1C12"/>
    <w:rsid w:val="5878B0B2"/>
    <w:rsid w:val="6777E0F5"/>
    <w:rsid w:val="72D974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8AF3"/>
  <w15:docId w15:val="{FB2E35F7-0F84-41F1-B193-223FCF49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4A16E1"/>
    <w:pPr>
      <w:spacing w:after="0" w:line="360" w:lineRule="auto"/>
    </w:pPr>
    <w:rPr>
      <w:rFonts w:eastAsiaTheme="minorEastAsia"/>
      <w:color w:val="292929"/>
      <w:sz w:val="24"/>
      <w:szCs w:val="24"/>
      <w:lang w:val="en-GB"/>
    </w:rPr>
  </w:style>
  <w:style w:type="paragraph" w:styleId="Heading3">
    <w:name w:val="heading 3"/>
    <w:basedOn w:val="Normal"/>
    <w:link w:val="Heading3Char"/>
    <w:qFormat/>
    <w:rsid w:val="00A131D2"/>
    <w:pPr>
      <w:spacing w:before="100" w:beforeAutospacing="1" w:after="100" w:afterAutospacing="1"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C9"/>
    <w:rPr>
      <w:rFonts w:ascii="Tahoma" w:hAnsi="Tahoma" w:cs="Tahoma"/>
      <w:sz w:val="16"/>
      <w:szCs w:val="16"/>
    </w:rPr>
  </w:style>
  <w:style w:type="paragraph" w:styleId="NoSpacing">
    <w:name w:val="No Spacing"/>
    <w:uiPriority w:val="1"/>
    <w:qFormat/>
    <w:rsid w:val="00B5421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27B0"/>
    <w:pPr>
      <w:tabs>
        <w:tab w:val="center" w:pos="4513"/>
        <w:tab w:val="right" w:pos="9026"/>
      </w:tabs>
      <w:spacing w:line="240" w:lineRule="auto"/>
    </w:pPr>
  </w:style>
  <w:style w:type="character" w:customStyle="1" w:styleId="HeaderChar">
    <w:name w:val="Header Char"/>
    <w:basedOn w:val="DefaultParagraphFont"/>
    <w:link w:val="Header"/>
    <w:uiPriority w:val="99"/>
    <w:rsid w:val="009D27B0"/>
    <w:rPr>
      <w:rFonts w:eastAsiaTheme="minorEastAsia"/>
      <w:sz w:val="24"/>
      <w:szCs w:val="24"/>
      <w:lang w:val="en-US"/>
    </w:rPr>
  </w:style>
  <w:style w:type="paragraph" w:styleId="Footer">
    <w:name w:val="footer"/>
    <w:basedOn w:val="Normal"/>
    <w:link w:val="FooterChar"/>
    <w:uiPriority w:val="99"/>
    <w:unhideWhenUsed/>
    <w:rsid w:val="009D27B0"/>
    <w:pPr>
      <w:tabs>
        <w:tab w:val="center" w:pos="4513"/>
        <w:tab w:val="right" w:pos="9026"/>
      </w:tabs>
      <w:spacing w:line="240" w:lineRule="auto"/>
    </w:pPr>
  </w:style>
  <w:style w:type="character" w:customStyle="1" w:styleId="FooterChar">
    <w:name w:val="Footer Char"/>
    <w:basedOn w:val="DefaultParagraphFont"/>
    <w:link w:val="Footer"/>
    <w:uiPriority w:val="99"/>
    <w:rsid w:val="009D27B0"/>
    <w:rPr>
      <w:rFonts w:eastAsiaTheme="minorEastAsia"/>
      <w:sz w:val="24"/>
      <w:szCs w:val="24"/>
      <w:lang w:val="en-US"/>
    </w:rPr>
  </w:style>
  <w:style w:type="paragraph" w:styleId="ListParagraph">
    <w:name w:val="List Paragraph"/>
    <w:basedOn w:val="Normal"/>
    <w:uiPriority w:val="34"/>
    <w:qFormat/>
    <w:rsid w:val="00771180"/>
    <w:pPr>
      <w:ind w:left="720"/>
      <w:contextualSpacing/>
    </w:pPr>
  </w:style>
  <w:style w:type="character" w:styleId="Hyperlink">
    <w:name w:val="Hyperlink"/>
    <w:uiPriority w:val="99"/>
    <w:rsid w:val="00771180"/>
    <w:rPr>
      <w:color w:val="0000FF"/>
      <w:u w:val="single"/>
    </w:rPr>
  </w:style>
  <w:style w:type="paragraph" w:customStyle="1" w:styleId="Default">
    <w:name w:val="Default"/>
    <w:rsid w:val="005F3E29"/>
    <w:pPr>
      <w:autoSpaceDE w:val="0"/>
      <w:autoSpaceDN w:val="0"/>
      <w:adjustRightInd w:val="0"/>
      <w:spacing w:after="0" w:line="240" w:lineRule="auto"/>
    </w:pPr>
    <w:rPr>
      <w:rFonts w:ascii="Calibri" w:eastAsiaTheme="minorEastAsia" w:hAnsi="Calibri" w:cs="Calibri"/>
      <w:color w:val="000000"/>
      <w:sz w:val="24"/>
      <w:szCs w:val="24"/>
    </w:rPr>
  </w:style>
  <w:style w:type="paragraph" w:styleId="BlockText">
    <w:name w:val="Block Text"/>
    <w:basedOn w:val="Normal"/>
    <w:uiPriority w:val="99"/>
    <w:rsid w:val="001B4C2C"/>
    <w:pPr>
      <w:spacing w:before="100" w:beforeAutospacing="1" w:after="240" w:line="240" w:lineRule="auto"/>
      <w:ind w:left="720" w:right="720"/>
      <w:jc w:val="both"/>
    </w:pPr>
    <w:rPr>
      <w:rFonts w:ascii="Arial" w:eastAsia="Times New Roman" w:hAnsi="Arial" w:cs="Arial"/>
      <w:sz w:val="22"/>
    </w:rPr>
  </w:style>
  <w:style w:type="character" w:customStyle="1" w:styleId="Heading3Char">
    <w:name w:val="Heading 3 Char"/>
    <w:basedOn w:val="DefaultParagraphFont"/>
    <w:link w:val="Heading3"/>
    <w:rsid w:val="00A131D2"/>
    <w:rPr>
      <w:rFonts w:ascii="Arial" w:eastAsia="Times New Roman" w:hAnsi="Arial" w:cs="Times New Roman"/>
      <w:b/>
      <w:bCs/>
      <w:sz w:val="26"/>
      <w:szCs w:val="26"/>
      <w:lang w:val="en-US"/>
    </w:rPr>
  </w:style>
  <w:style w:type="paragraph" w:styleId="Title">
    <w:name w:val="Title"/>
    <w:aliases w:val="Job Spacing"/>
    <w:basedOn w:val="Normal"/>
    <w:link w:val="TitleChar"/>
    <w:qFormat/>
    <w:rsid w:val="00D077C7"/>
    <w:pPr>
      <w:spacing w:line="240" w:lineRule="auto"/>
      <w:jc w:val="center"/>
    </w:pPr>
    <w:rPr>
      <w:rFonts w:ascii="Verdana" w:eastAsia="Times New Roman" w:hAnsi="Verdana" w:cs="Times New Roman"/>
      <w:b/>
      <w:bCs/>
      <w:color w:val="auto"/>
      <w:sz w:val="32"/>
    </w:rPr>
  </w:style>
  <w:style w:type="character" w:customStyle="1" w:styleId="TitleChar">
    <w:name w:val="Title Char"/>
    <w:aliases w:val="Job Spacing Char"/>
    <w:basedOn w:val="DefaultParagraphFont"/>
    <w:link w:val="Title"/>
    <w:rsid w:val="00D077C7"/>
    <w:rPr>
      <w:rFonts w:ascii="Verdana" w:eastAsia="Times New Roman" w:hAnsi="Verdana" w:cs="Times New Roman"/>
      <w:b/>
      <w:bCs/>
      <w:sz w:val="32"/>
      <w:szCs w:val="24"/>
      <w:lang w:val="en-US"/>
    </w:rPr>
  </w:style>
  <w:style w:type="paragraph" w:styleId="PlainText">
    <w:name w:val="Plain Text"/>
    <w:basedOn w:val="Normal"/>
    <w:link w:val="PlainTextChar"/>
    <w:uiPriority w:val="99"/>
    <w:unhideWhenUsed/>
    <w:rsid w:val="00D077C7"/>
    <w:pPr>
      <w:spacing w:line="240" w:lineRule="auto"/>
    </w:pPr>
    <w:rPr>
      <w:rFonts w:ascii="Consolas" w:eastAsia="Calibri"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D077C7"/>
    <w:rPr>
      <w:rFonts w:ascii="Consolas" w:eastAsia="Calibri" w:hAnsi="Consolas" w:cs="Times New Roman"/>
      <w:sz w:val="21"/>
      <w:szCs w:val="21"/>
      <w:lang w:val="x-none" w:eastAsia="x-none"/>
    </w:rPr>
  </w:style>
  <w:style w:type="paragraph" w:styleId="FootnoteText">
    <w:name w:val="footnote text"/>
    <w:basedOn w:val="Normal"/>
    <w:link w:val="FootnoteTextChar"/>
    <w:uiPriority w:val="99"/>
    <w:semiHidden/>
    <w:unhideWhenUsed/>
    <w:rsid w:val="001A0AF2"/>
    <w:pPr>
      <w:spacing w:line="240" w:lineRule="auto"/>
    </w:pPr>
    <w:rPr>
      <w:sz w:val="20"/>
      <w:szCs w:val="20"/>
    </w:rPr>
  </w:style>
  <w:style w:type="character" w:customStyle="1" w:styleId="FootnoteTextChar">
    <w:name w:val="Footnote Text Char"/>
    <w:basedOn w:val="DefaultParagraphFont"/>
    <w:link w:val="FootnoteText"/>
    <w:uiPriority w:val="99"/>
    <w:semiHidden/>
    <w:rsid w:val="001A0AF2"/>
    <w:rPr>
      <w:rFonts w:eastAsiaTheme="minorEastAsia"/>
      <w:color w:val="292929"/>
      <w:sz w:val="20"/>
      <w:szCs w:val="20"/>
      <w:lang w:val="en-US"/>
    </w:rPr>
  </w:style>
  <w:style w:type="character" w:styleId="FootnoteReference">
    <w:name w:val="footnote reference"/>
    <w:basedOn w:val="DefaultParagraphFont"/>
    <w:uiPriority w:val="99"/>
    <w:semiHidden/>
    <w:unhideWhenUsed/>
    <w:rsid w:val="001A0AF2"/>
    <w:rPr>
      <w:vertAlign w:val="superscript"/>
    </w:rPr>
  </w:style>
  <w:style w:type="character" w:styleId="FollowedHyperlink">
    <w:name w:val="FollowedHyperlink"/>
    <w:basedOn w:val="DefaultParagraphFont"/>
    <w:uiPriority w:val="99"/>
    <w:semiHidden/>
    <w:unhideWhenUsed/>
    <w:rsid w:val="00C570E3"/>
    <w:rPr>
      <w:color w:val="800080" w:themeColor="followedHyperlink"/>
      <w:u w:val="single"/>
    </w:rPr>
  </w:style>
  <w:style w:type="character" w:customStyle="1" w:styleId="apple-converted-space">
    <w:name w:val="apple-converted-space"/>
    <w:basedOn w:val="DefaultParagraphFont"/>
    <w:rsid w:val="005F23E9"/>
  </w:style>
  <w:style w:type="paragraph" w:styleId="NormalWeb">
    <w:name w:val="Normal (Web)"/>
    <w:basedOn w:val="Normal"/>
    <w:uiPriority w:val="99"/>
    <w:semiHidden/>
    <w:unhideWhenUsed/>
    <w:rsid w:val="005F23E9"/>
    <w:pPr>
      <w:spacing w:before="100" w:beforeAutospacing="1" w:after="100" w:afterAutospacing="1" w:line="240" w:lineRule="auto"/>
    </w:pPr>
    <w:rPr>
      <w:rFonts w:ascii="Times New Roman" w:eastAsia="Times New Roman" w:hAnsi="Times New Roman" w:cs="Times New Roman"/>
      <w:color w:val="auto"/>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0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 TargetMode="External"/><Relationship Id="rId13" Type="http://schemas.openxmlformats.org/officeDocument/2006/relationships/hyperlink" Target="http://www.tcd.ie/research/about/rankin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d.ie/research/them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tcd.ie/diversity-inclusion/diversit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bei.gov.ie/en/What-We-Do/Workplace-and-Skills/Employment-Permits/Employment-Permit-Eligibility/Ineligible-Categories-of-Employme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cd.ie/hr/" TargetMode="External"/><Relationship Id="rId14" Type="http://schemas.openxmlformats.org/officeDocument/2006/relationships/hyperlink" Target="https://dbei.gov.ie/en/What-We-Do/Workplace-and-Skills/Employment-Permits/Employment-Permit-Eligibility/Highly-Skilled-Eligible-Occupation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DB0C-185F-4FED-82C8-9F4344DF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1929</Words>
  <Characters>10997</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Sheena Cleary</cp:lastModifiedBy>
  <cp:revision>5</cp:revision>
  <cp:lastPrinted>2018-03-20T13:50:00Z</cp:lastPrinted>
  <dcterms:created xsi:type="dcterms:W3CDTF">2022-02-09T11:08:00Z</dcterms:created>
  <dcterms:modified xsi:type="dcterms:W3CDTF">2022-03-28T09:02:00Z</dcterms:modified>
</cp:coreProperties>
</file>